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7E68C" w14:textId="25678FA7" w:rsidR="000B63F3" w:rsidRDefault="00094074" w:rsidP="00094074">
      <w:pPr>
        <w:spacing w:line="264" w:lineRule="auto"/>
        <w:ind w:left="0" w:firstLine="0"/>
        <w:jc w:val="center"/>
        <w:rPr>
          <w:rFonts w:ascii="Book Antiqua" w:eastAsia="Verdana" w:hAnsi="Book Antiqua" w:cs="Verdana"/>
          <w:b/>
          <w:color w:val="FF0000"/>
          <w:sz w:val="30"/>
          <w:szCs w:val="30"/>
          <w:lang w:bidi="ar-SA"/>
        </w:rPr>
      </w:pPr>
      <w:r w:rsidRPr="00094074">
        <w:rPr>
          <w:rFonts w:ascii="Book Antiqua" w:eastAsia="Verdana" w:hAnsi="Book Antiqua" w:cs="Verdana"/>
          <w:b/>
          <w:color w:val="FF0000"/>
          <w:sz w:val="30"/>
          <w:szCs w:val="30"/>
          <w:lang w:bidi="ar-SA"/>
        </w:rPr>
        <w:t xml:space="preserve">COMO UTILIZAR A DOR EM SEU BENEFÍCIO </w:t>
      </w:r>
    </w:p>
    <w:p w14:paraId="36FAA36B" w14:textId="77777777" w:rsidR="00094074" w:rsidRPr="00094074" w:rsidRDefault="00094074" w:rsidP="00094074">
      <w:pPr>
        <w:spacing w:line="264" w:lineRule="auto"/>
        <w:ind w:left="0" w:firstLine="0"/>
        <w:jc w:val="center"/>
        <w:rPr>
          <w:rFonts w:ascii="Book Antiqua" w:eastAsia="Verdana" w:hAnsi="Book Antiqua" w:cs="Verdana"/>
          <w:b/>
          <w:color w:val="FF0000"/>
          <w:sz w:val="30"/>
          <w:szCs w:val="30"/>
          <w:lang w:bidi="ar-SA"/>
        </w:rPr>
      </w:pPr>
    </w:p>
    <w:p w14:paraId="62D436CA" w14:textId="037344CB" w:rsidR="000B63F3" w:rsidRPr="00094074" w:rsidRDefault="000B63F3" w:rsidP="00094074">
      <w:pPr>
        <w:suppressAutoHyphens/>
        <w:spacing w:line="264" w:lineRule="auto"/>
        <w:ind w:left="0" w:right="115" w:firstLine="709"/>
        <w:jc w:val="right"/>
        <w:rPr>
          <w:rFonts w:ascii="Book Antiqua" w:eastAsia="Verdana" w:hAnsi="Book Antiqua" w:cs="Verdana"/>
          <w:b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b/>
          <w:sz w:val="26"/>
          <w:szCs w:val="26"/>
          <w:lang w:bidi="ar-SA"/>
        </w:rPr>
        <w:t>Swami Paratparananda</w:t>
      </w:r>
      <w:r w:rsidR="00094074">
        <w:rPr>
          <w:rStyle w:val="Refdenotaderodap"/>
          <w:rFonts w:ascii="Book Antiqua" w:eastAsia="Verdana" w:hAnsi="Book Antiqua" w:cs="Verdana"/>
          <w:b/>
          <w:sz w:val="26"/>
          <w:szCs w:val="26"/>
          <w:lang w:bidi="ar-SA"/>
        </w:rPr>
        <w:footnoteReference w:id="1"/>
      </w:r>
    </w:p>
    <w:p w14:paraId="0246CA7D" w14:textId="77777777" w:rsidR="000B63F3" w:rsidRDefault="000B63F3" w:rsidP="000B63F3"/>
    <w:p w14:paraId="70D2CE7C" w14:textId="18DB5059" w:rsidR="000B63F3" w:rsidRDefault="000B63F3" w:rsidP="00552328">
      <w:pPr>
        <w:jc w:val="right"/>
        <w:rPr>
          <w:rFonts w:ascii="Book Antiqua" w:eastAsia="Verdana" w:hAnsi="Book Antiqua" w:cs="Verdana"/>
          <w:lang w:bidi="ar-SA"/>
        </w:rPr>
      </w:pPr>
      <w:r w:rsidRPr="00094074">
        <w:rPr>
          <w:rFonts w:ascii="Book Antiqua" w:eastAsia="Verdana" w:hAnsi="Book Antiqua" w:cs="Verdana"/>
          <w:lang w:bidi="ar-SA"/>
        </w:rPr>
        <w:t xml:space="preserve">Editorial da Revista </w:t>
      </w:r>
      <w:r w:rsidRPr="00094074">
        <w:rPr>
          <w:rFonts w:ascii="Book Antiqua" w:eastAsia="Verdana" w:hAnsi="Book Antiqua" w:cs="Verdana"/>
          <w:i/>
          <w:iCs/>
          <w:lang w:bidi="ar-SA"/>
        </w:rPr>
        <w:t xml:space="preserve">The Vedanta </w:t>
      </w:r>
      <w:proofErr w:type="spellStart"/>
      <w:r w:rsidRPr="00094074">
        <w:rPr>
          <w:rFonts w:ascii="Book Antiqua" w:eastAsia="Verdana" w:hAnsi="Book Antiqua" w:cs="Verdana"/>
          <w:i/>
          <w:iCs/>
          <w:lang w:bidi="ar-SA"/>
        </w:rPr>
        <w:t>Kesari</w:t>
      </w:r>
      <w:proofErr w:type="spellEnd"/>
      <w:r w:rsidRPr="00094074">
        <w:rPr>
          <w:rFonts w:ascii="Book Antiqua" w:eastAsia="Verdana" w:hAnsi="Book Antiqua" w:cs="Verdana"/>
          <w:lang w:bidi="ar-SA"/>
        </w:rPr>
        <w:t xml:space="preserve"> – </w:t>
      </w:r>
      <w:r w:rsidR="001F66E2">
        <w:rPr>
          <w:rFonts w:ascii="Book Antiqua" w:eastAsia="Verdana" w:hAnsi="Book Antiqua" w:cs="Verdana"/>
          <w:lang w:bidi="ar-SA"/>
        </w:rPr>
        <w:t>fevereiro</w:t>
      </w:r>
      <w:r w:rsidRPr="00094074">
        <w:rPr>
          <w:rFonts w:ascii="Book Antiqua" w:eastAsia="Verdana" w:hAnsi="Book Antiqua" w:cs="Verdana"/>
          <w:lang w:bidi="ar-SA"/>
        </w:rPr>
        <w:t xml:space="preserve"> de 1966</w:t>
      </w:r>
      <w:r w:rsidR="0094771E">
        <w:rPr>
          <w:rStyle w:val="Refdenotaderodap"/>
          <w:rFonts w:ascii="Book Antiqua" w:eastAsia="Verdana" w:hAnsi="Book Antiqua" w:cs="Verdana"/>
          <w:lang w:bidi="ar-SA"/>
        </w:rPr>
        <w:footnoteReference w:id="2"/>
      </w:r>
    </w:p>
    <w:p w14:paraId="6449D992" w14:textId="77777777" w:rsidR="00552328" w:rsidRDefault="00552328" w:rsidP="00552328">
      <w:pPr>
        <w:jc w:val="right"/>
        <w:rPr>
          <w:rFonts w:ascii="Book Antiqua" w:eastAsia="Verdana" w:hAnsi="Book Antiqua" w:cs="Verdana"/>
          <w:lang w:bidi="ar-SA"/>
        </w:rPr>
      </w:pPr>
    </w:p>
    <w:p w14:paraId="4C55B158" w14:textId="77777777" w:rsidR="00552328" w:rsidRDefault="00552328" w:rsidP="00552328">
      <w:pPr>
        <w:jc w:val="right"/>
        <w:rPr>
          <w:rFonts w:ascii="Book Antiqua" w:eastAsia="Verdana" w:hAnsi="Book Antiqua" w:cs="Verdana"/>
          <w:lang w:bidi="ar-SA"/>
        </w:rPr>
      </w:pPr>
    </w:p>
    <w:p w14:paraId="435E51E4" w14:textId="77777777" w:rsidR="005E2979" w:rsidRPr="00094074" w:rsidRDefault="005E2979" w:rsidP="00552328">
      <w:pPr>
        <w:jc w:val="right"/>
        <w:rPr>
          <w:rFonts w:ascii="Book Antiqua" w:eastAsia="Verdana" w:hAnsi="Book Antiqua" w:cs="Verdana"/>
          <w:lang w:bidi="ar-SA"/>
        </w:rPr>
      </w:pPr>
    </w:p>
    <w:p w14:paraId="62486A47" w14:textId="77777777" w:rsidR="000B63F3" w:rsidRDefault="000B63F3" w:rsidP="000B63F3"/>
    <w:p w14:paraId="5DCF8539" w14:textId="5AB87E8B" w:rsidR="001F66E2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Assim como a adversidade prova o caráter do homem, a dor o revela em suas verdadeiras cores, por assim dizer. É em momentos em que o homem é dominado pela dor, física ou mental, que se pode avaliar seu caráter. Pode-se pregar uma filosofia elevada, mas a maneira como se vive essa filosofia, especialmente quando se é atingido por calamidades, é o que verdadeiramente o define. Ninguém pode negar que este mundo é uma experiência de pares de opostos: amor e ódio, prazer e dor, simpatia e ciúme, cooperação e competição, e assim por diante. Um desses pares é aceitável, mas o outro é desagradável. No entanto, a roda do tempo não </w:t>
      </w:r>
      <w:r w:rsidR="001F66E2">
        <w:rPr>
          <w:rFonts w:ascii="Book Antiqua" w:eastAsia="Verdana" w:hAnsi="Book Antiqua" w:cs="Verdana"/>
          <w:sz w:val="26"/>
          <w:szCs w:val="26"/>
          <w:lang w:bidi="ar-SA"/>
        </w:rPr>
        <w:t xml:space="preserve">de detém 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para agradar a ninguém. Ela continua girando e junto com ela, a tristeza e a felicidade também entram na vida de cada pessoa, às vezes rapidamente, às vezes lentamente. Não há como escapar dessa roda.</w:t>
      </w:r>
    </w:p>
    <w:p w14:paraId="4C6B769C" w14:textId="77777777" w:rsidR="005E7258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Todos sabem disso: que a juventude e o vigor são passageiros, que a morte sucede ao nascimento tão certamente como a noite segue o dia. Mas o ateu, o agnóstico e o materialista nos dizem para </w:t>
      </w:r>
      <w:r w:rsidR="001F66E2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aproveitar o sol enquanto ele brilha</w:t>
      </w:r>
      <w:r w:rsidR="001F66E2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, para desfrutar ao máximo enquanto podemos. No entanto, eles esquecem ou deliberadamente omitem acrescentar: </w:t>
      </w:r>
      <w:r w:rsidR="001F66E2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e sofr</w:t>
      </w:r>
      <w:r w:rsidR="005E7258">
        <w:rPr>
          <w:rFonts w:ascii="Book Antiqua" w:eastAsia="Verdana" w:hAnsi="Book Antiqua" w:cs="Verdana"/>
          <w:sz w:val="26"/>
          <w:szCs w:val="26"/>
          <w:lang w:bidi="ar-SA"/>
        </w:rPr>
        <w:t>am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quando não puder</w:t>
      </w:r>
      <w:r w:rsidR="005E7258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. Sim, isso é um fenômeno verificável. O homem nem mesmo é capaz de sofrer com paciência, tendo gasto toda sua energia no prazer. Se mantivermos nossos olhos e ouvidos abertos e observarmos, veremos como aqueles que se lançam loucamente no vórtice do prazer desenfreado se veem abandonados pelos próprios sentidos que os arrastaram para lá, quando o sofrimento os persegue implacavelmente. Os sentidos do homem são como amigos de ocasião, deixando-o à própria sorte quando a miséria o alcança; ou seja, a busca pelo prazer empobrece o homem e o torna incapaz de enfrentar a vida à medida que ela muda — a menor dor, a menor miséria, o exaspera.</w:t>
      </w:r>
    </w:p>
    <w:p w14:paraId="0CA955CC" w14:textId="77777777" w:rsidR="00066A0A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Além disso, como já vimos, a própria textura dessa teia da vida é tal que </w:t>
      </w:r>
      <w:r w:rsidR="005E7258">
        <w:rPr>
          <w:rFonts w:ascii="Book Antiqua" w:eastAsia="Verdana" w:hAnsi="Book Antiqua" w:cs="Verdana"/>
          <w:sz w:val="26"/>
          <w:szCs w:val="26"/>
          <w:lang w:bidi="ar-SA"/>
        </w:rPr>
        <w:t>o sofrimento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e a felicidade formam sua urdidura e trama, e um não pode existir sem a outr</w:t>
      </w:r>
      <w:r w:rsidR="005E7258">
        <w:rPr>
          <w:rFonts w:ascii="Book Antiqua" w:eastAsia="Verdana" w:hAnsi="Book Antiqua" w:cs="Verdana"/>
          <w:sz w:val="26"/>
          <w:szCs w:val="26"/>
          <w:lang w:bidi="ar-SA"/>
        </w:rPr>
        <w:t>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. A dor não pode ser ignorada, pois ela se impõe e se faz sentir. Negá-la não tem significado, nem </w:t>
      </w:r>
      <w:r w:rsidR="005E7258" w:rsidRPr="00094074">
        <w:rPr>
          <w:rFonts w:ascii="Book Antiqua" w:eastAsia="Verdana" w:hAnsi="Book Antiqua" w:cs="Verdana"/>
          <w:sz w:val="26"/>
          <w:szCs w:val="26"/>
          <w:lang w:bidi="ar-SA"/>
        </w:rPr>
        <w:t>a sofrer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como um mal inevitável nos traz qualquer mérito. Em uma era onde a utilidade ocupa o lugar de destaque entre os incentivos para a ação do 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lastRenderedPageBreak/>
        <w:t>homem, ele deve tentar ver que melhor uso pode fazer da dor. Para que uso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="005E7258">
        <w:rPr>
          <w:rFonts w:ascii="Book Antiqua" w:eastAsia="Verdana" w:hAnsi="Book Antiqua" w:cs="Verdana"/>
          <w:sz w:val="26"/>
          <w:szCs w:val="26"/>
          <w:lang w:bidi="ar-SA"/>
        </w:rPr>
        <w:t>o sofrimento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pode ser </w:t>
      </w:r>
      <w:r w:rsidR="005E7258">
        <w:rPr>
          <w:rFonts w:ascii="Book Antiqua" w:eastAsia="Verdana" w:hAnsi="Book Antiqua" w:cs="Verdana"/>
          <w:sz w:val="26"/>
          <w:szCs w:val="26"/>
          <w:lang w:bidi="ar-SA"/>
        </w:rPr>
        <w:t>utilizad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? Quando sabemos que el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e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certamente virá, apesar de todos os nossos esforços para evitá-l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, devemos nos preparar para aceitá-l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com equanimidade. Como isso pode ser feito? Lembrando que a dor, como o prazer, é passageir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a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e suportando-a sem muito alarde, aceitando-a como parte da vida. Isso é o que Sri Krishna ensinou a Arjuna: 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Os contatos dos sentidos, ó Arjuna, resultam em calor e frio, prazer e dor, mas eles vêm e vão e são impermanentes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,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portanto, suporte-os.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="00C85522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3"/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Essa resistência (</w:t>
      </w:r>
      <w:proofErr w:type="spellStart"/>
      <w:r w:rsidRPr="00C85522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titiksha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) é uma das seis qualidades mencionadas pelos sábios como o equipamento necessário em nossa jornada em direção ao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 xml:space="preserve"> Supremo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. A resistência foi definida como 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suportar todas as aflições sem se preocupar em remediá-las e, ao mesmo tempo, estar livre de ansiedade ou lament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ação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por causa delas</w:t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="00C85522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4"/>
      </w:r>
      <w:r w:rsidR="00C85522">
        <w:rPr>
          <w:rFonts w:ascii="Book Antiqua" w:eastAsia="Verdana" w:hAnsi="Book Antiqua" w:cs="Verdana"/>
          <w:sz w:val="26"/>
          <w:szCs w:val="26"/>
          <w:lang w:bidi="ar-SA"/>
        </w:rPr>
        <w:t>.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Se for perguntado como alcançar tal estado quando estamos na região de seus antípodas, há apenas uma resposta. E essa é: pela prática. Podemos nos lembrar do que Sri Krishna disse a Arjuna sobre o controle da mente: </w:t>
      </w:r>
      <w:proofErr w:type="spellStart"/>
      <w:r w:rsidRPr="00C85522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abhyasa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e </w:t>
      </w:r>
      <w:proofErr w:type="spellStart"/>
      <w:r w:rsidR="00C85522" w:rsidRPr="00C85522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v</w:t>
      </w:r>
      <w:r w:rsidRPr="00C85522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airagya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, prática e desapego, ele disse, eram a única maneira de fazê-lo. Em todos os aspectos da vida, em todas as buscas, é a prática que nos torna perfeitos. Se você quer nadar, nenhuma quantidade de leitura de livros sobre natação pode ajudá-lo a aprender. É preciso entrar na água e lutar. Um colete salva-vidas pode ajudá-lo no início, mas se você depender dele sempre, pode não se afogar, mas nunca aprenderá a nadar. Um forte desejo apoiado por um imenso esforço é o único que pode alcançar o sucesso em qualquer área da vida. O mesmo acontece com um aspirante religioso. Para ele, a prática das virtudes é uma necessidade suprema, sendo um passo em direção ao seu objetivo. Agora, para alcançar esse estado de aceitação calma ou indiferença à dor e ao prazer, temos que recorrer a algo que sabemos ser mais do que todos esses pequenos flashes de alegrias e tristezas, algo eterno. Mas o simples conhecimento não ajuda. Uma consciência desse espírito no dia a dia e a fé em seu poder redentor também são necessários.</w:t>
      </w:r>
    </w:p>
    <w:p w14:paraId="081D4F74" w14:textId="77777777" w:rsidR="005E2979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A dor nos faz cientes de que a vida neste mundo não é um mar calmo</w:t>
      </w:r>
      <w:r w:rsidR="00066A0A">
        <w:rPr>
          <w:rFonts w:ascii="Book Antiqua" w:eastAsia="Verdana" w:hAnsi="Book Antiqua" w:cs="Verdana"/>
          <w:sz w:val="26"/>
          <w:szCs w:val="26"/>
          <w:lang w:bidi="ar-SA"/>
        </w:rPr>
        <w:t>,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há tempestades e ventanias que devem ser enfrentadas. Ela nos faz conscientes de que há um poder que está além de toda compreensão,</w:t>
      </w:r>
      <w:r w:rsidR="00066A0A">
        <w:rPr>
          <w:rFonts w:ascii="Book Antiqua" w:eastAsia="Verdana" w:hAnsi="Book Antiqua" w:cs="Verdana"/>
          <w:sz w:val="26"/>
          <w:szCs w:val="26"/>
          <w:lang w:bidi="ar-SA"/>
        </w:rPr>
        <w:t xml:space="preserve"> ainda assim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controla nosso destino. Para o homem esquecido, é um aviso de que algo desagradável o aguarda sempre ao virar da esquina. É uma lição que os homens deveriam aprender, mas infelizmente, geralmente não aprendem. Mas aqueles que aprendem não têm medo das aflições. Eles passam a entender que, junto com a angústia, vem da mesma fonte o poder de suportar, se apenas tiverem fé. Há uma oração de </w:t>
      </w:r>
      <w:proofErr w:type="spellStart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Kunti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, a mãe dos </w:t>
      </w:r>
      <w:proofErr w:type="spellStart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Pandavas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, os heróis do </w:t>
      </w:r>
      <w:proofErr w:type="spellStart"/>
      <w:r w:rsidRPr="00066A0A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Mahabharata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, que dá amplo testemunho desse fato: </w:t>
      </w:r>
      <w:r w:rsidR="00066A0A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Que as aflições venham a nós sempre, ó Senhor, para que possamos vê-Lo repetidamente. Pois vê-Lo resulta em efetivamente cortar todos os futuros nascimentos</w:t>
      </w:r>
      <w:r w:rsidR="00066A0A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="00066A0A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5"/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. Essa oração é incompatível com uma vida saudável? É uma melancolia do tipo mórbido?</w:t>
      </w:r>
    </w:p>
    <w:p w14:paraId="4461A3D6" w14:textId="69915957" w:rsidR="00460429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lastRenderedPageBreak/>
        <w:t xml:space="preserve">É possível </w:t>
      </w:r>
      <w:r w:rsidR="00460429">
        <w:rPr>
          <w:rFonts w:ascii="Book Antiqua" w:eastAsia="Verdana" w:hAnsi="Book Antiqua" w:cs="Verdana"/>
          <w:sz w:val="26"/>
          <w:szCs w:val="26"/>
          <w:lang w:bidi="ar-SA"/>
        </w:rPr>
        <w:t>considerar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a hilaridade e a alegria afetada como uma maneira saudável de viver. Mas isso é um fato? Não, a hilaridade traz depressão em seu rastro, e a alegria afetada, para emprestar uma expressão de Swami Vivekananda, é colocar rosas sobre feridas purulentas e chamá-las de belas. Há um critério pelo qual se pode julgar se o pessimismo de um aspirante religioso é o de uma alma doente ou o que nasce da sabedoria penetrante que atravessa a futilidade de todas as coisas transitórias deste mundo. O pessimismo de tal pessoa não invade os que estão ao seu redor com derrotismo, nem ele mesmo é dominado pela impotência. </w:t>
      </w:r>
      <w:proofErr w:type="spellStart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Kunti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, junto com seus filhos, teve que passar por provações e vicissitudes das quais muitos otimistas convictos teriam fugido, ou ao enfrentá-las teriam sucumbido. Mas eles resistiram a tudo e estavam preparados para o próximo golpe d</w:t>
      </w:r>
      <w:r w:rsidR="00460429">
        <w:rPr>
          <w:rFonts w:ascii="Book Antiqua" w:eastAsia="Verdana" w:hAnsi="Book Antiqua" w:cs="Verdana"/>
          <w:sz w:val="26"/>
          <w:szCs w:val="26"/>
          <w:lang w:bidi="ar-SA"/>
        </w:rPr>
        <w:t>o destino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com calma, mas não servil, resignação. Havia dignidade em seu sofrimento. Sua vida não nos deixa sem esperança, mas infunde força e fé em nós mesmos. Nessas circunstâncias, podemos chamar a oração de </w:t>
      </w:r>
      <w:proofErr w:type="spellStart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Kunti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de um gosto mórbido pelo sofrimento? Por outro lado, aqueles que podem ver encontrarão nela um desafio direto ao destino: para fazer o que quiser e ver se eles serão encontrados em falta. Esse espírito destemido certamente não pode ser gerado por remoer os ferimentos e insultos que se sofreu. Esse é o espírito que quase se aproxima da descrição de uma pessoa de </w:t>
      </w:r>
      <w:r w:rsidR="00460429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intelecto estável</w:t>
      </w:r>
      <w:r w:rsidR="00460429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d</w:t>
      </w:r>
      <w:r w:rsidR="00460429">
        <w:rPr>
          <w:rFonts w:ascii="Book Antiqua" w:eastAsia="Verdana" w:hAnsi="Book Antiqua" w:cs="Verdana"/>
          <w:sz w:val="26"/>
          <w:szCs w:val="26"/>
          <w:lang w:bidi="ar-SA"/>
        </w:rPr>
        <w:t>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Pr="00460429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Gita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. </w:t>
      </w:r>
      <w:r w:rsidR="00460429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Inabalável na aflição, desapegado dos prazeres, livre de apego, medo e raiva, </w:t>
      </w:r>
      <w:r w:rsidR="00460429">
        <w:rPr>
          <w:rFonts w:ascii="Book Antiqua" w:eastAsia="Verdana" w:hAnsi="Book Antiqua" w:cs="Verdana"/>
          <w:sz w:val="26"/>
          <w:szCs w:val="26"/>
          <w:lang w:bidi="ar-SA"/>
        </w:rPr>
        <w:t xml:space="preserve">de 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tal sábio</w:t>
      </w:r>
      <w:r w:rsidR="00460429">
        <w:rPr>
          <w:rFonts w:ascii="Book Antiqua" w:eastAsia="Verdana" w:hAnsi="Book Antiqua" w:cs="Verdana"/>
          <w:sz w:val="26"/>
          <w:szCs w:val="26"/>
          <w:lang w:bidi="ar-SA"/>
        </w:rPr>
        <w:t xml:space="preserve"> se diz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ter sabedoria estável</w:t>
      </w:r>
      <w:r w:rsidR="00460429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="00460429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6"/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. Portanto, essa imputação de morbidez não se aplica ao caso deles, nem ao caso de outros sábios e santos que tiveram que passar por circunstâncias semelhantes.</w:t>
      </w:r>
    </w:p>
    <w:p w14:paraId="123DA851" w14:textId="39E8E85C" w:rsidR="000B63F3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Às vezes, a dor se torna o prenúncio de um grande evento na vida de uma pessoa</w:t>
      </w:r>
      <w:r w:rsidR="00826381">
        <w:rPr>
          <w:rFonts w:ascii="Book Antiqua" w:eastAsia="Verdana" w:hAnsi="Book Antiqua" w:cs="Verdana"/>
          <w:sz w:val="26"/>
          <w:szCs w:val="26"/>
          <w:lang w:bidi="ar-SA"/>
        </w:rPr>
        <w:t>,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uma metamorfose, por assim dizer, ocorre na visão de vida de alguém. Isso aconteceu no caso daqueles que mais tarde se tornaram grandes santos. Um ladrão que </w:t>
      </w:r>
      <w:r w:rsidR="00826381">
        <w:rPr>
          <w:rFonts w:ascii="Book Antiqua" w:eastAsia="Verdana" w:hAnsi="Book Antiqua" w:cs="Verdana"/>
          <w:sz w:val="26"/>
          <w:szCs w:val="26"/>
          <w:lang w:bidi="ar-SA"/>
        </w:rPr>
        <w:t xml:space="preserve">fazia 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embosca</w:t>
      </w:r>
      <w:r w:rsidR="00826381">
        <w:rPr>
          <w:rFonts w:ascii="Book Antiqua" w:eastAsia="Verdana" w:hAnsi="Book Antiqua" w:cs="Verdana"/>
          <w:sz w:val="26"/>
          <w:szCs w:val="26"/>
          <w:lang w:bidi="ar-SA"/>
        </w:rPr>
        <w:t>das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f</w:t>
      </w:r>
      <w:r w:rsidR="00826381">
        <w:rPr>
          <w:rFonts w:ascii="Book Antiqua" w:eastAsia="Verdana" w:hAnsi="Book Antiqua" w:cs="Verdana"/>
          <w:sz w:val="26"/>
          <w:szCs w:val="26"/>
          <w:lang w:bidi="ar-SA"/>
        </w:rPr>
        <w:t>icou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chocado ao perceber que seus próprios entes queridos não estavam dispostos a compartilhar o fardo de seus pecados, que ele comet</w:t>
      </w:r>
      <w:r w:rsidR="00826381">
        <w:rPr>
          <w:rFonts w:ascii="Book Antiqua" w:eastAsia="Verdana" w:hAnsi="Book Antiqua" w:cs="Verdana"/>
          <w:sz w:val="26"/>
          <w:szCs w:val="26"/>
          <w:lang w:bidi="ar-SA"/>
        </w:rPr>
        <w:t>ia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para mantê-los. Não houve dor física, mas que angústia mental ele deve ter passado! E o resultado foi o surgimento de um sábio brilhante que se imortalizou por seu grande épico, o </w:t>
      </w:r>
      <w:proofErr w:type="spellStart"/>
      <w:r w:rsidRPr="00826381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Ramayana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. Outro foi o comentarista da </w:t>
      </w:r>
      <w:r w:rsidRPr="00826381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Gita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e do </w:t>
      </w:r>
      <w:proofErr w:type="spellStart"/>
      <w:r w:rsidRPr="00826381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Bhagavata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, </w:t>
      </w:r>
      <w:proofErr w:type="spellStart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Sridharaswami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. Lançado n</w:t>
      </w:r>
      <w:r w:rsidR="00826381">
        <w:rPr>
          <w:rFonts w:ascii="Book Antiqua" w:eastAsia="Verdana" w:hAnsi="Book Antiqua" w:cs="Verdana"/>
          <w:sz w:val="26"/>
          <w:szCs w:val="26"/>
          <w:lang w:bidi="ar-SA"/>
        </w:rPr>
        <w:t>o sofrimento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pela morte de sua esposa, </w:t>
      </w:r>
      <w:proofErr w:type="spellStart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Sridhara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não chorou ou lamentou, mas ficou atordoado. Os véus da ilusão foram arrancados à força diante de seus olhos mentais. Todo o jogo dos fenômenos mundanos se tornou um livro aberto para ele, e ali ele renunciou. O exemplo de Bud</w:t>
      </w:r>
      <w:r w:rsidR="00826381">
        <w:rPr>
          <w:rFonts w:ascii="Book Antiqua" w:eastAsia="Verdana" w:hAnsi="Book Antiqua" w:cs="Verdana"/>
          <w:sz w:val="26"/>
          <w:szCs w:val="26"/>
          <w:lang w:bidi="ar-SA"/>
        </w:rPr>
        <w:t>dh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a é bem conhecido para precisar de repetição. Ele </w:t>
      </w:r>
      <w:r w:rsidR="00826381">
        <w:rPr>
          <w:rFonts w:ascii="Book Antiqua" w:eastAsia="Verdana" w:hAnsi="Book Antiqua" w:cs="Verdana"/>
          <w:sz w:val="26"/>
          <w:szCs w:val="26"/>
          <w:lang w:bidi="ar-SA"/>
        </w:rPr>
        <w:t>estava comovido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pelo sofrimento no mundo, embora </w:t>
      </w:r>
      <w:r w:rsidR="00826381">
        <w:rPr>
          <w:rFonts w:ascii="Book Antiqua" w:eastAsia="Verdana" w:hAnsi="Book Antiqua" w:cs="Verdana"/>
          <w:sz w:val="26"/>
          <w:szCs w:val="26"/>
          <w:lang w:bidi="ar-SA"/>
        </w:rPr>
        <w:t>su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as chamas ardentes não o tivessem tocado pessoalmente. </w:t>
      </w:r>
      <w:r w:rsidR="00826381">
        <w:rPr>
          <w:rFonts w:ascii="Book Antiqua" w:eastAsia="Verdana" w:hAnsi="Book Antiqua" w:cs="Verdana"/>
          <w:sz w:val="26"/>
          <w:szCs w:val="26"/>
          <w:lang w:bidi="ar-SA"/>
        </w:rPr>
        <w:t>Exemplos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poderiam ser multiplicadas, mas presumimos que ess</w:t>
      </w:r>
      <w:r w:rsidR="00826381">
        <w:rPr>
          <w:rFonts w:ascii="Book Antiqua" w:eastAsia="Verdana" w:hAnsi="Book Antiqua" w:cs="Verdana"/>
          <w:sz w:val="26"/>
          <w:szCs w:val="26"/>
          <w:lang w:bidi="ar-SA"/>
        </w:rPr>
        <w:t>e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s são suficientes para nosso propósito.</w:t>
      </w:r>
    </w:p>
    <w:p w14:paraId="5CF104D0" w14:textId="77777777" w:rsidR="005E2979" w:rsidRDefault="005E2979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79A69ADE" w14:textId="77777777" w:rsidR="005E2979" w:rsidRDefault="005E2979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69AAF5F1" w14:textId="77777777" w:rsidR="005E2979" w:rsidRPr="00094074" w:rsidRDefault="005E2979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626EE80A" w14:textId="77777777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53C8C5D0" w14:textId="58C833FB" w:rsidR="000B63F3" w:rsidRPr="00826381" w:rsidRDefault="000B63F3" w:rsidP="00826381">
      <w:pPr>
        <w:ind w:left="0" w:firstLine="0"/>
        <w:jc w:val="center"/>
        <w:rPr>
          <w:rFonts w:ascii="Book Antiqua" w:eastAsia="Verdana" w:hAnsi="Book Antiqua" w:cs="Verdana"/>
          <w:b/>
          <w:bCs/>
          <w:sz w:val="26"/>
          <w:szCs w:val="26"/>
          <w:lang w:bidi="ar-SA"/>
        </w:rPr>
      </w:pPr>
      <w:r w:rsidRPr="00826381">
        <w:rPr>
          <w:rFonts w:ascii="Book Antiqua" w:eastAsia="Verdana" w:hAnsi="Book Antiqua" w:cs="Verdana"/>
          <w:b/>
          <w:bCs/>
          <w:sz w:val="26"/>
          <w:szCs w:val="26"/>
          <w:lang w:bidi="ar-SA"/>
        </w:rPr>
        <w:lastRenderedPageBreak/>
        <w:t>II</w:t>
      </w:r>
    </w:p>
    <w:p w14:paraId="205350F8" w14:textId="77777777" w:rsidR="00826381" w:rsidRDefault="00826381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536C3F0B" w14:textId="77777777" w:rsidR="008C66BC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Logo no início deste século, houve um movimento prevalecente em alguns países ocidentais que foi chamado de religião da mente saudável. O Prof. William James, o grande psicólogo de sua época, refere-se a esse movimento em uma de suas Palestras Gifford</w:t>
      </w:r>
      <w:r w:rsidR="00826381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7"/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, onde cita muitos casos em que curas foram efetuadas no caso de várias doenças por essa religião da mente saudável, onde o homem naturalmente se recusava a ser intimidado a pensar no mal ou na dor. Se examinarmos cuidadosamente e criticamente os casos que ele cita, descobrimos que era a confiança em Deus, mais frequentemente do que o mero otimismo, que poderia sustentar os praticantes e salvá-los de afundar no pântano da angústia. Essas pessoas descobriram que resmungar, choramingar e chorar não é a maneira de enfrentar a dor, mas criar uma abordagem positiva: recusar-se a ser intimidado pel</w:t>
      </w:r>
      <w:r w:rsidR="008C66BC">
        <w:rPr>
          <w:rFonts w:ascii="Book Antiqua" w:eastAsia="Verdana" w:hAnsi="Book Antiqua" w:cs="Verdana"/>
          <w:sz w:val="26"/>
          <w:szCs w:val="26"/>
          <w:lang w:bidi="ar-SA"/>
        </w:rPr>
        <w:t>o sofrimento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e confiar no bem final.</w:t>
      </w:r>
    </w:p>
    <w:p w14:paraId="126FD786" w14:textId="35673515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Devemos, então, ser insensíveis como pedras? Sri Ramakrishna nos dá a resposta. Uma vez, um cavalheiro que havia perdido seu filho mais velho foi levado a Sri Ramakrishna para consolo em seu estado de espírito aflito. Sri Ramakrishna primeiro cantou uma canção que pedia alerta e vigilância contra a morte:</w:t>
      </w:r>
    </w:p>
    <w:p w14:paraId="67ABEF84" w14:textId="77777777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4A1091DD" w14:textId="56BAFC65" w:rsidR="000B63F3" w:rsidRPr="00094074" w:rsidRDefault="008C66BC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>Às armas! Às armas, ó homem! A morte invade sua casa em formação de batalha!</w:t>
      </w:r>
    </w:p>
    <w:p w14:paraId="60279CD6" w14:textId="5E71A0A8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Carregando a aljava do conhecimento, monte </w:t>
      </w:r>
      <w:r w:rsidR="008C66BC">
        <w:rPr>
          <w:rFonts w:ascii="Book Antiqua" w:eastAsia="Verdana" w:hAnsi="Book Antiqua" w:cs="Verdana"/>
          <w:sz w:val="26"/>
          <w:szCs w:val="26"/>
          <w:lang w:bidi="ar-SA"/>
        </w:rPr>
        <w:t>n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a carruagem da devoção;</w:t>
      </w:r>
    </w:p>
    <w:p w14:paraId="6AB8AA50" w14:textId="77777777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Dobre o arco de sua língua com a corda do amor,</w:t>
      </w:r>
    </w:p>
    <w:p w14:paraId="496AA078" w14:textId="08CE5874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E aponte para el</w:t>
      </w:r>
      <w:r w:rsidR="008C66BC">
        <w:rPr>
          <w:rFonts w:ascii="Book Antiqua" w:eastAsia="Verdana" w:hAnsi="Book Antiqua" w:cs="Verdana"/>
          <w:sz w:val="26"/>
          <w:szCs w:val="26"/>
          <w:lang w:bidi="ar-SA"/>
        </w:rPr>
        <w:t>a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a flecha do santo nome da Mãe Kali.</w:t>
      </w:r>
    </w:p>
    <w:p w14:paraId="1A9AFA88" w14:textId="77777777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Aqui está um estratagema para a batalha: Você não precisa de carruagem ou cocheiro:</w:t>
      </w:r>
    </w:p>
    <w:p w14:paraId="4689EC34" w14:textId="429C6F22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Lute contra seu inimigo da margem do Ganges e ele será facilmente derrotado.</w:t>
      </w:r>
      <w:r w:rsidR="008C66BC">
        <w:rPr>
          <w:rFonts w:ascii="Book Antiqua" w:eastAsia="Verdana" w:hAnsi="Book Antiqua" w:cs="Verdana"/>
          <w:sz w:val="26"/>
          <w:szCs w:val="26"/>
          <w:lang w:bidi="ar-SA"/>
        </w:rPr>
        <w:t>”</w:t>
      </w:r>
    </w:p>
    <w:p w14:paraId="34375498" w14:textId="77777777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49B50C8E" w14:textId="1F585D0F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Então ele disse: </w:t>
      </w:r>
      <w:r w:rsidR="008C66B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O que você pode fazer? Esteja pronto para a Morte. A Morte entrou na casa. Você deve lutar contra ela com a arma do santo nome de Deus. Deus é o único Agente. Eu digo: </w:t>
      </w:r>
      <w:r w:rsidR="008C66BC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Ó Senhor, eu faço o que Tu fazes através de mim. Eu falo o que Tu falas através de mim. Eu sou a máquina e Tu és o Operador. Eu sou a casa e Tu és o Morador. Eu sou o motor e Tu és o Engenheiro.</w:t>
      </w:r>
      <w:r w:rsidR="008C66BC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Dê sua procuração a Deus. Não </w:t>
      </w:r>
      <w:r w:rsidR="009F35F2">
        <w:rPr>
          <w:rFonts w:ascii="Book Antiqua" w:eastAsia="Verdana" w:hAnsi="Book Antiqua" w:cs="Verdana"/>
          <w:sz w:val="26"/>
          <w:szCs w:val="26"/>
          <w:lang w:bidi="ar-SA"/>
        </w:rPr>
        <w:t>há sofrimento quando se deixa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um bom homem assum</w:t>
      </w:r>
      <w:r w:rsidR="009F35F2">
        <w:rPr>
          <w:rFonts w:ascii="Book Antiqua" w:eastAsia="Verdana" w:hAnsi="Book Antiqua" w:cs="Verdana"/>
          <w:sz w:val="26"/>
          <w:szCs w:val="26"/>
          <w:lang w:bidi="ar-SA"/>
        </w:rPr>
        <w:t>ir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suas responsabilidades. Que Sua vontade seja feita.</w:t>
      </w:r>
    </w:p>
    <w:p w14:paraId="06AA7668" w14:textId="480CFB62" w:rsidR="000B63F3" w:rsidRPr="00094074" w:rsidRDefault="009F35F2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Mas sua dor pelo seu filho não é natural? O filho é o próprio </w:t>
      </w:r>
      <w:r>
        <w:rPr>
          <w:rFonts w:ascii="Book Antiqua" w:eastAsia="Verdana" w:hAnsi="Book Antiqua" w:cs="Verdana"/>
          <w:sz w:val="26"/>
          <w:szCs w:val="26"/>
          <w:lang w:bidi="ar-SA"/>
        </w:rPr>
        <w:t>ser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renascido. </w:t>
      </w:r>
      <w:proofErr w:type="spellStart"/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>Lakshmana</w:t>
      </w:r>
      <w:proofErr w:type="spellEnd"/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correu para Ravana quando este caiu morto no campo de batalha. Olhando para o corpo de Ravana, ele descobriu que cada um de seus ossos estava cheio de buracos. Então ele disse a Rama: </w:t>
      </w:r>
      <w:r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>Ó Rama, glória às suas flechas! Não há lugar no corpo de Ravana que elas não tenham perfurado.</w:t>
      </w:r>
      <w:r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>Irmão</w:t>
      </w:r>
      <w:r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, respondeu Rama, </w:t>
      </w:r>
      <w:r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os buracos que você vê em seus ossos não são de minhas flechas. A dor por seus filhos 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lastRenderedPageBreak/>
        <w:t>os perfurou completamente. Esses buracos são as marcas de sua dor. Ela penetrou seus próprios ossos.</w:t>
      </w:r>
      <w:r>
        <w:rPr>
          <w:rFonts w:ascii="Book Antiqua" w:eastAsia="Verdana" w:hAnsi="Book Antiqua" w:cs="Verdana"/>
          <w:sz w:val="26"/>
          <w:szCs w:val="26"/>
          <w:lang w:bidi="ar-SA"/>
        </w:rPr>
        <w:t>”</w:t>
      </w:r>
    </w:p>
    <w:p w14:paraId="3E5586E2" w14:textId="77777777" w:rsidR="005D03B5" w:rsidRDefault="009F35F2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Mas casa, esposa e filhos são todos transitórios; eles têm apenas uma existência momentânea. </w:t>
      </w:r>
      <w:r>
        <w:rPr>
          <w:rFonts w:ascii="Book Antiqua" w:eastAsia="Verdana" w:hAnsi="Book Antiqua" w:cs="Verdana"/>
          <w:sz w:val="26"/>
          <w:szCs w:val="26"/>
          <w:lang w:bidi="ar-SA"/>
        </w:rPr>
        <w:t>Só a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palmeira é real. Uma ou duas frutas caíram. Por que lamentar?</w:t>
      </w:r>
    </w:p>
    <w:p w14:paraId="09E96435" w14:textId="60178D72" w:rsidR="000B63F3" w:rsidRPr="00094074" w:rsidRDefault="00D42FBB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="000B63F3" w:rsidRPr="00094074">
        <w:rPr>
          <w:rFonts w:ascii="Book Antiqua" w:eastAsia="Verdana" w:hAnsi="Book Antiqua" w:cs="Verdana"/>
          <w:sz w:val="26"/>
          <w:szCs w:val="26"/>
          <w:lang w:bidi="ar-SA"/>
        </w:rPr>
        <w:t>Deus está engajado em três tipos de atividade: criação, preservação e destruição. A morte é inevitável. Tudo será destruído no momento da dissolução. Nada restará.</w:t>
      </w:r>
      <w:r>
        <w:rPr>
          <w:rFonts w:ascii="Book Antiqua" w:eastAsia="Verdana" w:hAnsi="Book Antiqua" w:cs="Verdana"/>
          <w:sz w:val="26"/>
          <w:szCs w:val="26"/>
          <w:lang w:bidi="ar-SA"/>
        </w:rPr>
        <w:t>’</w:t>
      </w:r>
    </w:p>
    <w:p w14:paraId="34C932F8" w14:textId="49204647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O que podemos concluir desse conselho do Mestre? Ele não condena o sentimento do homem por seus entes queridos</w:t>
      </w:r>
      <w:r w:rsidR="009F35F2">
        <w:rPr>
          <w:rFonts w:ascii="Book Antiqua" w:eastAsia="Verdana" w:hAnsi="Book Antiqua" w:cs="Verdana"/>
          <w:sz w:val="26"/>
          <w:szCs w:val="26"/>
          <w:lang w:bidi="ar-SA"/>
        </w:rPr>
        <w:t>,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pelo contrário, é antinatural ser insensível, mas, ao mesmo tempo, ele enfatiza que a separação dos entes queridos e a angústia por causa disso não podem ser eliminadas deste mundo; que a única maneira de ir além da dor é recorrer a Deus, que é o repouso de todos. Ele torna nosso fardo mais leve. Jesus não declarou: </w:t>
      </w:r>
      <w:r w:rsidR="009F35F2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Vinde a mim, todos os que estais cansados e sobrecarregados, e eu vos aliviarei</w:t>
      </w:r>
      <w:r w:rsidR="009F35F2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="009F35F2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8"/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? Essa é a mensagem de esperança que você ouve de todos os homens de Deus.</w:t>
      </w:r>
    </w:p>
    <w:p w14:paraId="52A33A2D" w14:textId="77777777" w:rsidR="009F35F2" w:rsidRDefault="009F35F2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316E09FB" w14:textId="1A127F1D" w:rsidR="000B63F3" w:rsidRPr="009F35F2" w:rsidRDefault="000B63F3" w:rsidP="009F35F2">
      <w:pPr>
        <w:ind w:left="0" w:firstLine="0"/>
        <w:jc w:val="center"/>
        <w:rPr>
          <w:rFonts w:ascii="Book Antiqua" w:eastAsia="Verdana" w:hAnsi="Book Antiqua" w:cs="Verdana"/>
          <w:b/>
          <w:bCs/>
          <w:sz w:val="26"/>
          <w:szCs w:val="26"/>
          <w:lang w:bidi="ar-SA"/>
        </w:rPr>
      </w:pPr>
      <w:r w:rsidRPr="009F35F2">
        <w:rPr>
          <w:rFonts w:ascii="Book Antiqua" w:eastAsia="Verdana" w:hAnsi="Book Antiqua" w:cs="Verdana"/>
          <w:b/>
          <w:bCs/>
          <w:sz w:val="26"/>
          <w:szCs w:val="26"/>
          <w:lang w:bidi="ar-SA"/>
        </w:rPr>
        <w:t>III</w:t>
      </w:r>
    </w:p>
    <w:p w14:paraId="6581BCC5" w14:textId="77777777" w:rsidR="000B63F3" w:rsidRPr="00094074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3D33C28F" w14:textId="2ADB5CB3" w:rsidR="000B63F3" w:rsidRDefault="000B63F3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Resumindo, temos que a dor é um ingrediente inevitável na vida dos seres. Ela pode ser enfrentada efetivamente, em primeiro lugar, pela discriminação, através do conhecimento de que a dor, sendo transitória, não pode ser eterna; em segundo lugar, transformando a experiência amarga em </w:t>
      </w:r>
      <w:r w:rsidR="005D03B5">
        <w:rPr>
          <w:rFonts w:ascii="Book Antiqua" w:eastAsia="Verdana" w:hAnsi="Book Antiqua" w:cs="Verdana"/>
          <w:sz w:val="26"/>
          <w:szCs w:val="26"/>
          <w:lang w:bidi="ar-SA"/>
        </w:rPr>
        <w:t>benefício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, fazendo-nos mergulhar profundamente em nós mesmos, ou, se você preferir chamar assim, voltando-se para Deus. Há uma passagem no </w:t>
      </w:r>
      <w:proofErr w:type="spellStart"/>
      <w:r w:rsidRPr="005D03B5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Mundaka</w:t>
      </w:r>
      <w:proofErr w:type="spellEnd"/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Pr="005D03B5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Upanishad</w:t>
      </w:r>
      <w:r w:rsidR="005D03B5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que fala sobre a natureza do </w:t>
      </w:r>
      <w:proofErr w:type="spellStart"/>
      <w:r w:rsidRPr="005D03B5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jiva</w:t>
      </w:r>
      <w:proofErr w:type="spellEnd"/>
      <w:r w:rsidR="005D03B5">
        <w:rPr>
          <w:rFonts w:ascii="Book Antiqua" w:eastAsia="Verdana" w:hAnsi="Book Antiqua" w:cs="Verdana"/>
          <w:sz w:val="26"/>
          <w:szCs w:val="26"/>
          <w:lang w:bidi="ar-SA"/>
        </w:rPr>
        <w:t xml:space="preserve"> [ser individual] 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e como ele transcende de sua natureza inferior para a superior. </w:t>
      </w:r>
      <w:r w:rsidR="005D03B5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Dois pássaros de plumagem brilhante, sempre associados, estão firmemente unidos à mesma árvore. Um deles come o fruto doce, enquanto o outro observa sem comer. Sentado na mesma árvore, o</w:t>
      </w:r>
      <w:r w:rsidR="005D03B5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proofErr w:type="spellStart"/>
      <w:r w:rsidRPr="005D03B5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jiva</w:t>
      </w:r>
      <w:proofErr w:type="spellEnd"/>
      <w:r w:rsidR="005D03B5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>geme, confuso por sua impotência para superar a tristeza e suas limitações. Mas quando ele vê o outro, o Senhor, adorado por todos e Sua glória, ele então se liberta da tristeza</w:t>
      </w:r>
      <w:r w:rsidR="005D03B5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="0071128D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9"/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. Essa é a maneira de superar o </w:t>
      </w:r>
      <w:r w:rsidR="0071128D">
        <w:rPr>
          <w:rFonts w:ascii="Book Antiqua" w:eastAsia="Verdana" w:hAnsi="Book Antiqua" w:cs="Verdana"/>
          <w:sz w:val="26"/>
          <w:szCs w:val="26"/>
          <w:lang w:bidi="ar-SA"/>
        </w:rPr>
        <w:t>ardor</w:t>
      </w:r>
      <w:r w:rsidRPr="00094074">
        <w:rPr>
          <w:rFonts w:ascii="Book Antiqua" w:eastAsia="Verdana" w:hAnsi="Book Antiqua" w:cs="Verdana"/>
          <w:sz w:val="26"/>
          <w:szCs w:val="26"/>
          <w:lang w:bidi="ar-SA"/>
        </w:rPr>
        <w:t xml:space="preserve"> que está </w:t>
      </w:r>
      <w:r w:rsidR="0071128D" w:rsidRPr="00094074">
        <w:rPr>
          <w:rFonts w:ascii="Book Antiqua" w:eastAsia="Verdana" w:hAnsi="Book Antiqua" w:cs="Verdana"/>
          <w:sz w:val="26"/>
          <w:szCs w:val="26"/>
          <w:lang w:bidi="ar-SA"/>
        </w:rPr>
        <w:t>no sofrimento</w:t>
      </w:r>
      <w:r w:rsidR="0071128D">
        <w:rPr>
          <w:rFonts w:ascii="Book Antiqua" w:eastAsia="Verdana" w:hAnsi="Book Antiqua" w:cs="Verdana"/>
          <w:sz w:val="26"/>
          <w:szCs w:val="26"/>
          <w:lang w:bidi="ar-SA"/>
        </w:rPr>
        <w:t>.</w:t>
      </w:r>
    </w:p>
    <w:p w14:paraId="4E089128" w14:textId="77777777" w:rsidR="0071128D" w:rsidRDefault="0071128D" w:rsidP="00094074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05850B45" w14:textId="074806F4" w:rsidR="0071128D" w:rsidRPr="0071128D" w:rsidRDefault="0071128D" w:rsidP="0071128D">
      <w:pPr>
        <w:ind w:left="0" w:firstLine="0"/>
        <w:jc w:val="center"/>
        <w:rPr>
          <w:rFonts w:ascii="Book Antiqua" w:eastAsia="Verdana" w:hAnsi="Book Antiqua" w:cs="Verdana"/>
          <w:sz w:val="20"/>
          <w:szCs w:val="20"/>
          <w:lang w:bidi="ar-SA"/>
        </w:rPr>
      </w:pPr>
      <w:r w:rsidRPr="0071128D">
        <w:rPr>
          <w:rFonts w:ascii="Book Antiqua" w:eastAsia="Verdana" w:hAnsi="Book Antiqua" w:cs="Verdana"/>
          <w:sz w:val="20"/>
          <w:szCs w:val="20"/>
          <w:lang w:bidi="ar-SA"/>
        </w:rPr>
        <w:sym w:font="Webdings" w:char="F03D"/>
      </w:r>
      <w:r w:rsidRPr="0071128D">
        <w:rPr>
          <w:rFonts w:ascii="Book Antiqua" w:eastAsia="Verdana" w:hAnsi="Book Antiqua" w:cs="Verdana"/>
          <w:sz w:val="20"/>
          <w:szCs w:val="20"/>
          <w:lang w:bidi="ar-SA"/>
        </w:rPr>
        <w:t xml:space="preserve"> </w:t>
      </w:r>
      <w:r w:rsidRPr="0071128D">
        <w:rPr>
          <w:rFonts w:ascii="Book Antiqua" w:eastAsia="Verdana" w:hAnsi="Book Antiqua" w:cs="Verdana"/>
          <w:sz w:val="20"/>
          <w:szCs w:val="20"/>
          <w:lang w:bidi="ar-SA"/>
        </w:rPr>
        <w:sym w:font="Webdings" w:char="F03D"/>
      </w:r>
      <w:r w:rsidRPr="0071128D">
        <w:rPr>
          <w:rFonts w:ascii="Book Antiqua" w:eastAsia="Verdana" w:hAnsi="Book Antiqua" w:cs="Verdana"/>
          <w:sz w:val="20"/>
          <w:szCs w:val="20"/>
          <w:lang w:bidi="ar-SA"/>
        </w:rPr>
        <w:t xml:space="preserve"> </w:t>
      </w:r>
      <w:r w:rsidRPr="0071128D">
        <w:rPr>
          <w:rFonts w:ascii="Book Antiqua" w:eastAsia="Verdana" w:hAnsi="Book Antiqua" w:cs="Verdana"/>
          <w:sz w:val="20"/>
          <w:szCs w:val="20"/>
          <w:lang w:bidi="ar-SA"/>
        </w:rPr>
        <w:sym w:font="Webdings" w:char="F03D"/>
      </w:r>
      <w:r w:rsidRPr="0071128D">
        <w:rPr>
          <w:rFonts w:ascii="Book Antiqua" w:eastAsia="Verdana" w:hAnsi="Book Antiqua" w:cs="Verdana"/>
          <w:sz w:val="20"/>
          <w:szCs w:val="20"/>
          <w:lang w:bidi="ar-SA"/>
        </w:rPr>
        <w:t xml:space="preserve"> </w:t>
      </w:r>
      <w:r w:rsidRPr="0071128D">
        <w:rPr>
          <w:rFonts w:ascii="Book Antiqua" w:eastAsia="Verdana" w:hAnsi="Book Antiqua" w:cs="Verdana"/>
          <w:sz w:val="20"/>
          <w:szCs w:val="20"/>
          <w:lang w:bidi="ar-SA"/>
        </w:rPr>
        <w:sym w:font="Webdings" w:char="F03D"/>
      </w:r>
      <w:r w:rsidRPr="0071128D">
        <w:rPr>
          <w:rFonts w:ascii="Book Antiqua" w:eastAsia="Verdana" w:hAnsi="Book Antiqua" w:cs="Verdana"/>
          <w:sz w:val="20"/>
          <w:szCs w:val="20"/>
          <w:lang w:bidi="ar-SA"/>
        </w:rPr>
        <w:t xml:space="preserve"> </w:t>
      </w:r>
      <w:r w:rsidRPr="0071128D">
        <w:rPr>
          <w:rFonts w:ascii="Book Antiqua" w:eastAsia="Verdana" w:hAnsi="Book Antiqua" w:cs="Verdana"/>
          <w:sz w:val="20"/>
          <w:szCs w:val="20"/>
          <w:lang w:bidi="ar-SA"/>
        </w:rPr>
        <w:sym w:font="Webdings" w:char="F03D"/>
      </w:r>
    </w:p>
    <w:sectPr w:rsidR="0071128D" w:rsidRPr="0071128D" w:rsidSect="00094074">
      <w:footerReference w:type="default" r:id="rId7"/>
      <w:type w:val="continuous"/>
      <w:pgSz w:w="11910" w:h="16840"/>
      <w:pgMar w:top="1440" w:right="1080" w:bottom="1440" w:left="1080" w:header="0" w:footer="106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78B95" w14:textId="77777777" w:rsidR="00303FB8" w:rsidRDefault="00303FB8" w:rsidP="00094074">
      <w:pPr>
        <w:spacing w:line="240" w:lineRule="auto"/>
      </w:pPr>
      <w:r>
        <w:separator/>
      </w:r>
    </w:p>
  </w:endnote>
  <w:endnote w:type="continuationSeparator" w:id="0">
    <w:p w14:paraId="2CB82D1B" w14:textId="77777777" w:rsidR="00303FB8" w:rsidRDefault="00303FB8" w:rsidP="000940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89299289"/>
      <w:docPartObj>
        <w:docPartGallery w:val="Page Numbers (Bottom of Page)"/>
        <w:docPartUnique/>
      </w:docPartObj>
    </w:sdtPr>
    <w:sdtContent>
      <w:p w14:paraId="368DA473" w14:textId="2FE71F28" w:rsidR="00826381" w:rsidRDefault="00826381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E8B3F1" w14:textId="77777777" w:rsidR="00826381" w:rsidRDefault="0082638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24A6E" w14:textId="77777777" w:rsidR="00303FB8" w:rsidRDefault="00303FB8" w:rsidP="00094074">
      <w:pPr>
        <w:spacing w:line="240" w:lineRule="auto"/>
      </w:pPr>
      <w:r>
        <w:separator/>
      </w:r>
    </w:p>
  </w:footnote>
  <w:footnote w:type="continuationSeparator" w:id="0">
    <w:p w14:paraId="16C7B8EF" w14:textId="77777777" w:rsidR="00303FB8" w:rsidRDefault="00303FB8" w:rsidP="00094074">
      <w:pPr>
        <w:spacing w:line="240" w:lineRule="auto"/>
      </w:pPr>
      <w:r>
        <w:continuationSeparator/>
      </w:r>
    </w:p>
  </w:footnote>
  <w:footnote w:id="1">
    <w:p w14:paraId="7822D05F" w14:textId="6E68B52D" w:rsidR="00094074" w:rsidRPr="0094771E" w:rsidRDefault="00094074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r>
        <w:rPr>
          <w:rFonts w:ascii="Book Antiqua" w:hAnsi="Book Antiqua"/>
        </w:rPr>
        <w:t xml:space="preserve">Swami Paratparananda foi o líder espiritual do Ramakrishna Ashrama, Buenos Aires, Argentina e do Ramakrishna Vedanta Ashrama, São Paulo, Brasil (1973-1988). Anteriormente, durante o período de 1962 a 1967 foi o editor da revista </w:t>
      </w:r>
      <w:r>
        <w:rPr>
          <w:rFonts w:ascii="Book Antiqua" w:hAnsi="Book Antiqua"/>
          <w:i/>
          <w:iCs/>
        </w:rPr>
        <w:t xml:space="preserve">The Vedanta </w:t>
      </w:r>
      <w:proofErr w:type="spellStart"/>
      <w:r>
        <w:rPr>
          <w:rFonts w:ascii="Book Antiqua" w:hAnsi="Book Antiqua"/>
          <w:i/>
          <w:iCs/>
        </w:rPr>
        <w:t>Kesari</w:t>
      </w:r>
      <w:proofErr w:type="spellEnd"/>
      <w:r>
        <w:rPr>
          <w:rFonts w:ascii="Book Antiqua" w:hAnsi="Book Antiqua"/>
        </w:rPr>
        <w:t xml:space="preserve"> da Ordem Ramakrishna na Índia. Veja também, </w:t>
      </w:r>
      <w:hyperlink r:id="rId1">
        <w:r>
          <w:rPr>
            <w:rStyle w:val="Hyperlink"/>
            <w:rFonts w:ascii="Book Antiqua" w:hAnsi="Book Antiqua"/>
          </w:rPr>
          <w:t>https://estudantedavedanta.net/paratparananda.html</w:t>
        </w:r>
      </w:hyperlink>
      <w:r>
        <w:rPr>
          <w:rFonts w:ascii="Book Antiqua" w:hAnsi="Book Antiqua"/>
        </w:rPr>
        <w:t>.</w:t>
      </w:r>
    </w:p>
  </w:footnote>
  <w:footnote w:id="2">
    <w:p w14:paraId="30A61E74" w14:textId="6E063294" w:rsidR="0094771E" w:rsidRPr="0094771E" w:rsidRDefault="0094771E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r w:rsidRPr="0094771E">
        <w:rPr>
          <w:rFonts w:ascii="Book Antiqua" w:hAnsi="Book Antiqua"/>
        </w:rPr>
        <w:t xml:space="preserve">Do editorial em inglês, </w:t>
      </w:r>
      <w:proofErr w:type="spellStart"/>
      <w:r w:rsidRPr="0094771E">
        <w:rPr>
          <w:rFonts w:ascii="Book Antiqua" w:hAnsi="Book Antiqua"/>
          <w:i/>
          <w:iCs/>
        </w:rPr>
        <w:t>How</w:t>
      </w:r>
      <w:proofErr w:type="spellEnd"/>
      <w:r w:rsidRPr="0094771E">
        <w:rPr>
          <w:rFonts w:ascii="Book Antiqua" w:hAnsi="Book Antiqua"/>
          <w:i/>
          <w:iCs/>
        </w:rPr>
        <w:t xml:space="preserve"> </w:t>
      </w:r>
      <w:proofErr w:type="spellStart"/>
      <w:r w:rsidRPr="0094771E">
        <w:rPr>
          <w:rFonts w:ascii="Book Antiqua" w:hAnsi="Book Antiqua"/>
          <w:i/>
          <w:iCs/>
        </w:rPr>
        <w:t>to</w:t>
      </w:r>
      <w:proofErr w:type="spellEnd"/>
      <w:r w:rsidRPr="0094771E">
        <w:rPr>
          <w:rFonts w:ascii="Book Antiqua" w:hAnsi="Book Antiqua"/>
          <w:i/>
          <w:iCs/>
        </w:rPr>
        <w:t xml:space="preserve"> </w:t>
      </w:r>
      <w:proofErr w:type="spellStart"/>
      <w:r w:rsidRPr="0094771E">
        <w:rPr>
          <w:rFonts w:ascii="Book Antiqua" w:hAnsi="Book Antiqua"/>
          <w:i/>
          <w:iCs/>
        </w:rPr>
        <w:t>Put</w:t>
      </w:r>
      <w:proofErr w:type="spellEnd"/>
      <w:r w:rsidRPr="0094771E">
        <w:rPr>
          <w:rFonts w:ascii="Book Antiqua" w:hAnsi="Book Antiqua"/>
          <w:i/>
          <w:iCs/>
        </w:rPr>
        <w:t xml:space="preserve"> Pain </w:t>
      </w:r>
      <w:proofErr w:type="spellStart"/>
      <w:r w:rsidRPr="0094771E">
        <w:rPr>
          <w:rFonts w:ascii="Book Antiqua" w:hAnsi="Book Antiqua"/>
          <w:i/>
          <w:iCs/>
        </w:rPr>
        <w:t>to</w:t>
      </w:r>
      <w:proofErr w:type="spellEnd"/>
      <w:r w:rsidRPr="0094771E">
        <w:rPr>
          <w:rFonts w:ascii="Book Antiqua" w:hAnsi="Book Antiqua"/>
          <w:i/>
          <w:iCs/>
        </w:rPr>
        <w:t xml:space="preserve"> a Beneficial Use. </w:t>
      </w:r>
    </w:p>
  </w:footnote>
  <w:footnote w:id="3">
    <w:p w14:paraId="77728175" w14:textId="241B12B1" w:rsidR="00C85522" w:rsidRPr="00C85522" w:rsidRDefault="00C85522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r w:rsidRPr="00C85522">
        <w:rPr>
          <w:rStyle w:val="fontstyle01"/>
          <w:rFonts w:ascii="Book Antiqua" w:hAnsi="Book Antiqua"/>
        </w:rPr>
        <w:t>Bhagavad Gita, II.14.</w:t>
      </w:r>
    </w:p>
  </w:footnote>
  <w:footnote w:id="4">
    <w:p w14:paraId="282E5C57" w14:textId="764F6143" w:rsidR="00C85522" w:rsidRPr="00C85522" w:rsidRDefault="00C85522">
      <w:pPr>
        <w:pStyle w:val="Textodenotaderodap"/>
        <w:rPr>
          <w:rStyle w:val="fontstyle01"/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C85522">
        <w:rPr>
          <w:rStyle w:val="fontstyle01"/>
          <w:rFonts w:ascii="Book Antiqua" w:hAnsi="Book Antiqua"/>
        </w:rPr>
        <w:t>Vivekachudamani</w:t>
      </w:r>
      <w:proofErr w:type="spellEnd"/>
      <w:r w:rsidRPr="00C85522">
        <w:rPr>
          <w:rStyle w:val="fontstyle01"/>
          <w:rFonts w:ascii="Book Antiqua" w:hAnsi="Book Antiqua"/>
        </w:rPr>
        <w:t>, 24</w:t>
      </w:r>
    </w:p>
  </w:footnote>
  <w:footnote w:id="5">
    <w:p w14:paraId="0C81DA64" w14:textId="6A9ABA85" w:rsidR="00066A0A" w:rsidRPr="00066A0A" w:rsidRDefault="00066A0A">
      <w:pPr>
        <w:pStyle w:val="Textodenotaderodap"/>
        <w:rPr>
          <w:rStyle w:val="fontstyle01"/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066A0A">
        <w:rPr>
          <w:rStyle w:val="fontstyle01"/>
          <w:rFonts w:ascii="Book Antiqua" w:hAnsi="Book Antiqua"/>
        </w:rPr>
        <w:t>Bhagavata</w:t>
      </w:r>
      <w:proofErr w:type="spellEnd"/>
      <w:r w:rsidRPr="00066A0A">
        <w:rPr>
          <w:rStyle w:val="fontstyle01"/>
          <w:rFonts w:ascii="Book Antiqua" w:hAnsi="Book Antiqua"/>
        </w:rPr>
        <w:t>, I.8.25.</w:t>
      </w:r>
    </w:p>
  </w:footnote>
  <w:footnote w:id="6">
    <w:p w14:paraId="03935E9E" w14:textId="11978959" w:rsidR="00460429" w:rsidRPr="008C66BC" w:rsidRDefault="00460429">
      <w:pPr>
        <w:pStyle w:val="Textodenotaderodap"/>
        <w:rPr>
          <w:rStyle w:val="fontstyle01"/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r w:rsidR="008C66BC" w:rsidRPr="008C66BC">
        <w:rPr>
          <w:rStyle w:val="fontstyle01"/>
          <w:rFonts w:ascii="Book Antiqua" w:hAnsi="Book Antiqua"/>
        </w:rPr>
        <w:t>Gita, II.56.</w:t>
      </w:r>
    </w:p>
  </w:footnote>
  <w:footnote w:id="7">
    <w:p w14:paraId="7DC410FA" w14:textId="56C33E74" w:rsidR="00826381" w:rsidRPr="009F35F2" w:rsidRDefault="00826381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r w:rsidR="008C66BC" w:rsidRPr="009F35F2">
        <w:rPr>
          <w:rFonts w:ascii="Book Antiqua" w:hAnsi="Book Antiqua"/>
        </w:rPr>
        <w:t xml:space="preserve">Reunidas em forma de livro intitulado </w:t>
      </w:r>
      <w:proofErr w:type="spellStart"/>
      <w:r w:rsidRPr="009F35F2">
        <w:rPr>
          <w:rStyle w:val="fontstyle21"/>
          <w:rFonts w:ascii="Book Antiqua" w:hAnsi="Book Antiqua"/>
        </w:rPr>
        <w:t>Varieties</w:t>
      </w:r>
      <w:proofErr w:type="spellEnd"/>
      <w:r w:rsidRPr="009F35F2">
        <w:rPr>
          <w:rStyle w:val="fontstyle21"/>
          <w:rFonts w:ascii="Book Antiqua" w:hAnsi="Book Antiqua"/>
        </w:rPr>
        <w:t xml:space="preserve"> </w:t>
      </w:r>
      <w:proofErr w:type="spellStart"/>
      <w:r w:rsidRPr="009F35F2">
        <w:rPr>
          <w:rStyle w:val="fontstyle21"/>
          <w:rFonts w:ascii="Book Antiqua" w:hAnsi="Book Antiqua"/>
        </w:rPr>
        <w:t>of</w:t>
      </w:r>
      <w:proofErr w:type="spellEnd"/>
      <w:r w:rsidRPr="009F35F2">
        <w:rPr>
          <w:rStyle w:val="fontstyle21"/>
          <w:rFonts w:ascii="Book Antiqua" w:hAnsi="Book Antiqua"/>
        </w:rPr>
        <w:t xml:space="preserve"> </w:t>
      </w:r>
      <w:proofErr w:type="spellStart"/>
      <w:r w:rsidRPr="009F35F2">
        <w:rPr>
          <w:rStyle w:val="fontstyle21"/>
          <w:rFonts w:ascii="Book Antiqua" w:hAnsi="Book Antiqua"/>
        </w:rPr>
        <w:t>Religious</w:t>
      </w:r>
      <w:proofErr w:type="spellEnd"/>
      <w:r w:rsidRPr="009F35F2">
        <w:rPr>
          <w:rStyle w:val="fontstyle21"/>
          <w:rFonts w:ascii="Book Antiqua" w:hAnsi="Book Antiqua"/>
        </w:rPr>
        <w:t xml:space="preserve"> Experience</w:t>
      </w:r>
      <w:r w:rsidR="008C66BC" w:rsidRPr="009F35F2">
        <w:rPr>
          <w:rStyle w:val="fontstyle21"/>
          <w:rFonts w:ascii="Book Antiqua" w:hAnsi="Book Antiqua"/>
        </w:rPr>
        <w:t>.</w:t>
      </w:r>
    </w:p>
  </w:footnote>
  <w:footnote w:id="8">
    <w:p w14:paraId="7634F392" w14:textId="3AC77258" w:rsidR="009F35F2" w:rsidRPr="0071128D" w:rsidRDefault="009F35F2" w:rsidP="0071128D">
      <w:pPr>
        <w:ind w:left="0" w:firstLine="709"/>
        <w:rPr>
          <w:rFonts w:ascii="Book Antiqua" w:hAnsi="Book Antiqua"/>
          <w:sz w:val="20"/>
          <w:szCs w:val="18"/>
        </w:rPr>
      </w:pPr>
      <w:r>
        <w:rPr>
          <w:rStyle w:val="Refdenotaderodap"/>
        </w:rPr>
        <w:footnoteRef/>
      </w:r>
      <w:r>
        <w:t xml:space="preserve"> </w:t>
      </w:r>
      <w:r w:rsidRPr="009F35F2">
        <w:rPr>
          <w:rFonts w:ascii="Book Antiqua" w:hAnsi="Book Antiqua"/>
          <w:sz w:val="20"/>
          <w:szCs w:val="18"/>
        </w:rPr>
        <w:t>São Mateus, XI,28.</w:t>
      </w:r>
    </w:p>
  </w:footnote>
  <w:footnote w:id="9">
    <w:p w14:paraId="511B9F2E" w14:textId="46DB2610" w:rsidR="0071128D" w:rsidRPr="0071128D" w:rsidRDefault="0071128D" w:rsidP="0071128D">
      <w:pPr>
        <w:ind w:left="0" w:firstLine="709"/>
        <w:rPr>
          <w:rFonts w:ascii="Book Antiqua" w:hAnsi="Book Antiqua"/>
          <w:sz w:val="20"/>
          <w:szCs w:val="18"/>
        </w:rPr>
      </w:pPr>
      <w:r w:rsidRPr="0071128D">
        <w:rPr>
          <w:rStyle w:val="Refdenotaderodap"/>
        </w:rPr>
        <w:footnoteRef/>
      </w:r>
      <w:r w:rsidRPr="0071128D">
        <w:rPr>
          <w:rFonts w:ascii="Book Antiqua" w:hAnsi="Book Antiqua"/>
          <w:sz w:val="20"/>
          <w:szCs w:val="18"/>
        </w:rPr>
        <w:t xml:space="preserve"> III.i.1-2.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isplayBackgroundShape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3F3"/>
    <w:rsid w:val="00066A0A"/>
    <w:rsid w:val="00094074"/>
    <w:rsid w:val="000B63F3"/>
    <w:rsid w:val="001704D2"/>
    <w:rsid w:val="001825E1"/>
    <w:rsid w:val="001F66E2"/>
    <w:rsid w:val="00240C2C"/>
    <w:rsid w:val="002F493A"/>
    <w:rsid w:val="00303FB8"/>
    <w:rsid w:val="00456F6E"/>
    <w:rsid w:val="00460429"/>
    <w:rsid w:val="00552328"/>
    <w:rsid w:val="005D03B5"/>
    <w:rsid w:val="005E2979"/>
    <w:rsid w:val="005E7258"/>
    <w:rsid w:val="0071128D"/>
    <w:rsid w:val="007B154F"/>
    <w:rsid w:val="00826381"/>
    <w:rsid w:val="008C293F"/>
    <w:rsid w:val="008C66BC"/>
    <w:rsid w:val="008D4474"/>
    <w:rsid w:val="0094771E"/>
    <w:rsid w:val="009F35F2"/>
    <w:rsid w:val="00A52912"/>
    <w:rsid w:val="00B83E5C"/>
    <w:rsid w:val="00C85522"/>
    <w:rsid w:val="00D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678E4"/>
  <w15:chartTrackingRefBased/>
  <w15:docId w15:val="{86AEAF86-76C6-45AD-870C-6E7E69D2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2" w:lineRule="atLeast"/>
        <w:ind w:left="340" w:hanging="3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bidi="sa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094074"/>
    <w:rPr>
      <w:sz w:val="20"/>
      <w:szCs w:val="18"/>
      <w:lang w:bidi="sa-IN"/>
    </w:rPr>
  </w:style>
  <w:style w:type="character" w:customStyle="1" w:styleId="Caracteresdenotaderodap">
    <w:name w:val="Caracteres de nota de rodapé"/>
    <w:basedOn w:val="Fontepargpadro"/>
    <w:uiPriority w:val="99"/>
    <w:semiHidden/>
    <w:unhideWhenUsed/>
    <w:qFormat/>
    <w:rsid w:val="00094074"/>
    <w:rPr>
      <w:vertAlign w:val="superscript"/>
    </w:rPr>
  </w:style>
  <w:style w:type="character" w:styleId="Refdenotaderodap">
    <w:name w:val="footnote reference"/>
    <w:rsid w:val="00094074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09407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qFormat/>
    <w:rsid w:val="00094074"/>
    <w:pPr>
      <w:suppressAutoHyphens/>
      <w:spacing w:beforeAutospacing="1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 w:bidi="hi-I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94074"/>
    <w:pPr>
      <w:suppressAutoHyphens/>
      <w:spacing w:line="240" w:lineRule="auto"/>
    </w:pPr>
    <w:rPr>
      <w:sz w:val="20"/>
      <w:szCs w:val="18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094074"/>
    <w:rPr>
      <w:sz w:val="20"/>
      <w:szCs w:val="18"/>
      <w:lang w:bidi="sa-IN"/>
    </w:rPr>
  </w:style>
  <w:style w:type="character" w:customStyle="1" w:styleId="fontstyle01">
    <w:name w:val="fontstyle01"/>
    <w:basedOn w:val="Fontepargpadro"/>
    <w:rsid w:val="00C8552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826381"/>
    <w:pPr>
      <w:tabs>
        <w:tab w:val="center" w:pos="4252"/>
        <w:tab w:val="right" w:pos="8504"/>
      </w:tabs>
      <w:spacing w:line="240" w:lineRule="auto"/>
    </w:pPr>
    <w:rPr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826381"/>
    <w:rPr>
      <w:szCs w:val="20"/>
      <w:lang w:bidi="sa-IN"/>
    </w:rPr>
  </w:style>
  <w:style w:type="paragraph" w:styleId="Rodap">
    <w:name w:val="footer"/>
    <w:basedOn w:val="Normal"/>
    <w:link w:val="RodapChar"/>
    <w:uiPriority w:val="99"/>
    <w:unhideWhenUsed/>
    <w:rsid w:val="00826381"/>
    <w:pPr>
      <w:tabs>
        <w:tab w:val="center" w:pos="4252"/>
        <w:tab w:val="right" w:pos="8504"/>
      </w:tabs>
      <w:spacing w:line="240" w:lineRule="auto"/>
    </w:pPr>
    <w:rPr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826381"/>
    <w:rPr>
      <w:szCs w:val="20"/>
      <w:lang w:bidi="sa-IN"/>
    </w:rPr>
  </w:style>
  <w:style w:type="character" w:customStyle="1" w:styleId="fontstyle21">
    <w:name w:val="fontstyle21"/>
    <w:basedOn w:val="Fontepargpadro"/>
    <w:rsid w:val="00826381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studantedavedanta.net/paratparananda.htm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83FE9-DA11-4601-9359-BEA6C1872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2039</Words>
  <Characters>11012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COMO UTILIZAR A DOR EM SEU BENEFÍCIO</dc:title>
  <dc:subject/>
  <dc:creator>Swami Paratparananda</dc:creator>
  <cp:keywords/>
  <dc:description/>
  <cp:lastModifiedBy>Eduardo Pimenta</cp:lastModifiedBy>
  <cp:revision>10</cp:revision>
  <dcterms:created xsi:type="dcterms:W3CDTF">2025-02-18T00:45:00Z</dcterms:created>
  <dcterms:modified xsi:type="dcterms:W3CDTF">2025-03-09T15:08:00Z</dcterms:modified>
</cp:coreProperties>
</file>