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B8980" w14:textId="307AD25A" w:rsidR="00173C49" w:rsidRPr="00216BD7" w:rsidRDefault="00173C49" w:rsidP="00173C49">
      <w:pPr>
        <w:suppressAutoHyphens/>
        <w:spacing w:line="264" w:lineRule="auto"/>
        <w:ind w:left="0" w:firstLine="0"/>
        <w:jc w:val="center"/>
        <w:rPr>
          <w:rFonts w:ascii="Book Antiqua" w:eastAsia="Verdana" w:hAnsi="Book Antiqua" w:cs="Verdana"/>
          <w:b/>
          <w:color w:val="FF0000"/>
          <w:sz w:val="28"/>
          <w:szCs w:val="28"/>
          <w:lang w:bidi="ar-SA"/>
        </w:rPr>
      </w:pPr>
      <w:r w:rsidRPr="00216BD7">
        <w:rPr>
          <w:rFonts w:ascii="Book Antiqua" w:eastAsia="Verdana" w:hAnsi="Book Antiqua" w:cs="Verdana"/>
          <w:b/>
          <w:color w:val="FF0000"/>
          <w:sz w:val="28"/>
          <w:szCs w:val="28"/>
          <w:lang w:bidi="ar-SA"/>
        </w:rPr>
        <w:t>RELIGIÃO E FANATISMO</w:t>
      </w:r>
    </w:p>
    <w:p w14:paraId="369AC5B3" w14:textId="77777777" w:rsidR="00216BD7" w:rsidRPr="00BE3EDF" w:rsidRDefault="00216BD7" w:rsidP="00173C49">
      <w:pPr>
        <w:suppressAutoHyphens/>
        <w:spacing w:line="264" w:lineRule="auto"/>
        <w:ind w:left="0" w:firstLine="0"/>
        <w:jc w:val="center"/>
        <w:rPr>
          <w:rFonts w:ascii="Book Antiqua" w:eastAsia="Verdana" w:hAnsi="Book Antiqua" w:cs="Verdana"/>
          <w:b/>
          <w:color w:val="FF0000"/>
          <w:sz w:val="30"/>
          <w:szCs w:val="30"/>
          <w:lang w:bidi="ar-SA"/>
        </w:rPr>
      </w:pPr>
    </w:p>
    <w:p w14:paraId="2C5C7FE7" w14:textId="77777777" w:rsidR="00173C49" w:rsidRDefault="00173C49" w:rsidP="00173C49">
      <w:pPr>
        <w:spacing w:line="264" w:lineRule="auto"/>
        <w:ind w:left="0" w:right="115" w:firstLine="709"/>
        <w:jc w:val="right"/>
        <w:rPr>
          <w:rFonts w:ascii="Book Antiqua" w:eastAsia="Verdana" w:hAnsi="Book Antiqua" w:cs="Verdana"/>
          <w:b/>
          <w:sz w:val="26"/>
          <w:szCs w:val="26"/>
          <w:lang w:bidi="ar-SA"/>
        </w:rPr>
      </w:pPr>
      <w:r>
        <w:rPr>
          <w:rFonts w:ascii="Book Antiqua" w:eastAsia="Verdana" w:hAnsi="Book Antiqua" w:cs="Verdana"/>
          <w:b/>
          <w:sz w:val="26"/>
          <w:szCs w:val="26"/>
          <w:lang w:bidi="ar-SA"/>
        </w:rPr>
        <w:t>Por Swami Paratparananda</w:t>
      </w:r>
      <w:r>
        <w:rPr>
          <w:rStyle w:val="Refdenotaderodap"/>
          <w:rFonts w:ascii="Book Antiqua" w:eastAsia="Verdana" w:hAnsi="Book Antiqua" w:cs="Verdana"/>
          <w:b/>
          <w:sz w:val="26"/>
          <w:szCs w:val="26"/>
          <w:lang w:bidi="ar-SA"/>
        </w:rPr>
        <w:footnoteReference w:id="1"/>
      </w:r>
    </w:p>
    <w:p w14:paraId="0FE5EC95" w14:textId="77777777" w:rsidR="00216BD7" w:rsidRDefault="00216BD7" w:rsidP="00173C49">
      <w:pPr>
        <w:spacing w:line="264" w:lineRule="auto"/>
        <w:ind w:left="0" w:firstLine="709"/>
        <w:jc w:val="right"/>
        <w:rPr>
          <w:rFonts w:ascii="Book Antiqua" w:eastAsia="Verdana" w:hAnsi="Book Antiqua" w:cs="Verdana"/>
          <w:b/>
          <w:sz w:val="26"/>
          <w:szCs w:val="26"/>
          <w:lang w:bidi="ar-SA"/>
        </w:rPr>
      </w:pPr>
    </w:p>
    <w:p w14:paraId="637B186B" w14:textId="359FB3F1" w:rsidR="00173C49" w:rsidRDefault="00173C49" w:rsidP="00173C49">
      <w:pPr>
        <w:spacing w:line="264" w:lineRule="auto"/>
        <w:ind w:left="0" w:firstLine="709"/>
        <w:jc w:val="right"/>
        <w:rPr>
          <w:rFonts w:ascii="Book Antiqua" w:eastAsia="Verdana" w:hAnsi="Book Antiqua" w:cs="Verdana"/>
          <w:lang w:bidi="ar-SA"/>
        </w:rPr>
      </w:pPr>
      <w:r w:rsidRPr="00BE3EDF">
        <w:rPr>
          <w:rFonts w:ascii="Book Antiqua" w:eastAsia="Verdana" w:hAnsi="Book Antiqua" w:cs="Verdana"/>
          <w:lang w:bidi="ar-SA"/>
        </w:rPr>
        <w:t xml:space="preserve">Editorial da Revista </w:t>
      </w:r>
      <w:r w:rsidRPr="00BE3EDF">
        <w:rPr>
          <w:rFonts w:ascii="Book Antiqua" w:eastAsia="Verdana" w:hAnsi="Book Antiqua" w:cs="Verdana"/>
          <w:i/>
          <w:iCs/>
          <w:lang w:bidi="ar-SA"/>
        </w:rPr>
        <w:t xml:space="preserve">Vedanta </w:t>
      </w:r>
      <w:proofErr w:type="spellStart"/>
      <w:r w:rsidRPr="00BE3EDF">
        <w:rPr>
          <w:rFonts w:ascii="Book Antiqua" w:eastAsia="Verdana" w:hAnsi="Book Antiqua" w:cs="Verdana"/>
          <w:i/>
          <w:iCs/>
          <w:lang w:bidi="ar-SA"/>
        </w:rPr>
        <w:t>Kesari</w:t>
      </w:r>
      <w:proofErr w:type="spellEnd"/>
      <w:r w:rsidRPr="00BE3EDF">
        <w:rPr>
          <w:rFonts w:ascii="Book Antiqua" w:eastAsia="Verdana" w:hAnsi="Book Antiqua" w:cs="Verdana"/>
          <w:lang w:bidi="ar-SA"/>
        </w:rPr>
        <w:t xml:space="preserve"> – </w:t>
      </w:r>
      <w:r>
        <w:rPr>
          <w:rFonts w:ascii="Book Antiqua" w:eastAsia="Verdana" w:hAnsi="Book Antiqua" w:cs="Verdana"/>
          <w:lang w:bidi="ar-SA"/>
        </w:rPr>
        <w:t>abril</w:t>
      </w:r>
      <w:r w:rsidRPr="00BE3EDF">
        <w:rPr>
          <w:rFonts w:ascii="Book Antiqua" w:eastAsia="Verdana" w:hAnsi="Book Antiqua" w:cs="Verdana"/>
          <w:lang w:bidi="ar-SA"/>
        </w:rPr>
        <w:t xml:space="preserve"> de 196</w:t>
      </w:r>
      <w:r>
        <w:rPr>
          <w:rFonts w:ascii="Book Antiqua" w:eastAsia="Verdana" w:hAnsi="Book Antiqua" w:cs="Verdana"/>
          <w:lang w:bidi="ar-SA"/>
        </w:rPr>
        <w:t>3</w:t>
      </w:r>
      <w:r>
        <w:rPr>
          <w:rStyle w:val="Refdenotaderodap"/>
          <w:rFonts w:ascii="Book Antiqua" w:eastAsia="Verdana" w:hAnsi="Book Antiqua" w:cs="Verdana"/>
          <w:lang w:bidi="ar-SA"/>
        </w:rPr>
        <w:footnoteReference w:id="2"/>
      </w:r>
    </w:p>
    <w:p w14:paraId="2E0FFBA4" w14:textId="77777777" w:rsidR="008355E3" w:rsidRDefault="008355E3" w:rsidP="00173C49">
      <w:pPr>
        <w:spacing w:line="264" w:lineRule="auto"/>
        <w:ind w:left="0" w:firstLine="709"/>
        <w:jc w:val="right"/>
        <w:rPr>
          <w:rFonts w:ascii="Book Antiqua" w:eastAsia="Verdana" w:hAnsi="Book Antiqua" w:cs="Verdana"/>
          <w:lang w:bidi="ar-SA"/>
        </w:rPr>
      </w:pPr>
    </w:p>
    <w:p w14:paraId="0464AC3F" w14:textId="77777777" w:rsidR="00173C49" w:rsidRDefault="00173C49" w:rsidP="00173C49">
      <w:pPr>
        <w:spacing w:line="264" w:lineRule="auto"/>
        <w:ind w:left="0" w:firstLine="709"/>
        <w:jc w:val="right"/>
        <w:rPr>
          <w:rFonts w:ascii="Book Antiqua" w:eastAsia="Verdana" w:hAnsi="Book Antiqua" w:cs="Verdana"/>
          <w:lang w:bidi="ar-SA"/>
        </w:rPr>
      </w:pPr>
    </w:p>
    <w:p w14:paraId="66F05AA6" w14:textId="08118C96" w:rsidR="007E7D6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670792">
        <w:rPr>
          <w:rFonts w:ascii="Book Antiqua" w:eastAsia="Verdana" w:hAnsi="Book Antiqua" w:cs="Verdana"/>
          <w:sz w:val="44"/>
          <w:szCs w:val="44"/>
          <w:lang w:bidi="ar-SA"/>
        </w:rPr>
        <w:t>R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eligião, para a maioria das pessoas em todo o mundo, consiste na crença em alguns dogmas, em algumas personalidades, em algumas doutrinas e, no máximo, em fazer o bem aos membros que professam a mesma fé ou com a esperança de convertê-los à sua fé. </w:t>
      </w:r>
      <w:r w:rsidR="007E7D69">
        <w:rPr>
          <w:rFonts w:ascii="Book Antiqua" w:eastAsia="Verdana" w:hAnsi="Book Antiqua" w:cs="Verdana"/>
          <w:sz w:val="26"/>
          <w:szCs w:val="26"/>
          <w:lang w:bidi="ar-SA"/>
        </w:rPr>
        <w:t>E</w:t>
      </w:r>
      <w:r w:rsidR="007E7D69" w:rsidRPr="00173C49">
        <w:rPr>
          <w:rFonts w:ascii="Book Antiqua" w:eastAsia="Verdana" w:hAnsi="Book Antiqua" w:cs="Verdana"/>
          <w:sz w:val="26"/>
          <w:szCs w:val="26"/>
          <w:lang w:bidi="ar-SA"/>
        </w:rPr>
        <w:t>les não conseguem pensar</w:t>
      </w:r>
      <w:r w:rsidR="007E7D69">
        <w:rPr>
          <w:rFonts w:ascii="Book Antiqua" w:eastAsia="Verdana" w:hAnsi="Book Antiqua" w:cs="Verdana"/>
          <w:sz w:val="26"/>
          <w:szCs w:val="26"/>
          <w:lang w:bidi="ar-SA"/>
        </w:rPr>
        <w:t xml:space="preserve"> 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lém disso. Essa posição é compreensível no caso de pessoas comuns. Mas é intrigante quando pessoas que dizem viver apenas pela religião também seguem os mesmos caminhos. Com isso, elas não só fazem mal a si mesmas, mas também levam intencional e deliberadamente seus seguidores ao erro.</w:t>
      </w:r>
    </w:p>
    <w:p w14:paraId="2EA9AF1D" w14:textId="7A2970D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Houve um tempo em que essas concepções estreitas não teriam afetado nem mesmo a periferia da humanidade. Mas agora, por causa da vasta rede de comunicações</w:t>
      </w:r>
      <w:r w:rsidR="007E7D69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3"/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quando o mundo diminuiu de tamanho, por assim dizer, toda cautela deve ser observada quando dizemos coisas que não convencem o homem racional de hoje, ou difamamos pessoas ou religiões. Não é que a religião ou as pessoas difamadas percam algo de sua vitalidade ou influência, mas os difamadores expõem sua ignorância sobre a tendência dos eventos, sua </w:t>
      </w:r>
      <w:r w:rsidR="00670792">
        <w:rPr>
          <w:rFonts w:ascii="Book Antiqua" w:eastAsia="Verdana" w:hAnsi="Book Antiqua" w:cs="Verdana"/>
          <w:sz w:val="26"/>
          <w:szCs w:val="26"/>
          <w:lang w:bidi="ar-SA"/>
        </w:rPr>
        <w:t>estreiteza mental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 forma de pensar distorcida, e também prejudicam a causa da religião como um todo, com essa atitude. Houve críticas em certos círculos de que </w:t>
      </w:r>
      <w:r w:rsidR="00670792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os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Vedantins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não conhecem Deus como o Transcendente, o Criador.</w:t>
      </w:r>
      <w:r w:rsidR="00670792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Aqui, tentaremos mostrar quão totalmente incompreendido, deturpado e tendencioso é esse comentário.</w:t>
      </w:r>
    </w:p>
    <w:p w14:paraId="3EAFA9CD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7411F523" w14:textId="5FC006C0" w:rsidR="000F7C62" w:rsidRPr="00670792" w:rsidRDefault="000F7C62" w:rsidP="00670792">
      <w:pPr>
        <w:ind w:left="0" w:firstLine="0"/>
        <w:jc w:val="center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  <w:r w:rsidRPr="00670792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>O que é Religião?</w:t>
      </w:r>
    </w:p>
    <w:p w14:paraId="6FF62D7B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523BCBEE" w14:textId="5B471062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Nesse contexto, antes de mais nada, é necessário saber: O que é religião e qual é a nossa concepção de Deus? Desde o início, podemos dizer que a religião é uma maneira de viver que nos conduz em direção a Deus, ajudando-nos a descobrir nossa verdadeira natureza. Esta é a definição elementar. Nesse sentido, em sânscrito, é chamada de </w:t>
      </w:r>
      <w:proofErr w:type="spellStart"/>
      <w:r w:rsidRPr="00670792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dharma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No entanto, essa palavra </w:t>
      </w:r>
      <w:proofErr w:type="spellStart"/>
      <w:r w:rsidRPr="00670792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dharma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tem diferentes significados dependendo dos contextos. Significa dever, retidão, moralidade, natureza inerente e religião, de acordo com o uso. Ainda assim, pode-se perceber que, em meio a vários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>significados, o principal propósito da palavra não se perde de vista. Outros significados são etapas para o objetivo final, a religião. Um dever bem cumprido clareia a visão, assegura retidão, aperfeiçoa a natureza e, por fim, instila convicção sobre o propósito da vida. Isso é o que as religiões tentam fazer. E sobre isso não há disputa.</w:t>
      </w:r>
    </w:p>
    <w:p w14:paraId="5D914B12" w14:textId="13E934C4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Também é verdade que quase todas as religiões aceitam que a alma continua a viver após a morte do corpo. Este também é o terreno comum onde não há controvérsia. A maioria das religiões afirma positivamente que a alma ou vai para um</w:t>
      </w:r>
      <w:r w:rsidR="00083BA1">
        <w:rPr>
          <w:rFonts w:ascii="Book Antiqua" w:eastAsia="Verdana" w:hAnsi="Book Antiqua" w:cs="Verdana"/>
          <w:sz w:val="26"/>
          <w:szCs w:val="26"/>
          <w:lang w:bidi="ar-SA"/>
        </w:rPr>
        <w:t>a morada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celestial ou é condenada ao inferno — seja qual for a descrição do inferno ou do céu fornecida por elas. Assim, o objetivo de todas as religiões é elevar o bruto no homem a um pedestal mais elevado, o humano. Estamos deliberadamente nos abstendo de usar qualquer outro epíteto, no momento, neste contexto, para que essa palavra não assuste alguns que não podem ver o homem senão como um</w:t>
      </w:r>
      <w:r w:rsidR="00083BA1">
        <w:rPr>
          <w:rFonts w:ascii="Book Antiqua" w:eastAsia="Verdana" w:hAnsi="Book Antiqua" w:cs="Verdana"/>
          <w:sz w:val="26"/>
          <w:szCs w:val="26"/>
          <w:lang w:bidi="ar-SA"/>
        </w:rPr>
        <w:t xml:space="preserve"> conjunto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de mente e corpo. E para elevar o homem de um nível inferior para um superior, uma variedade de credos e parafernália, símbolos e insígnias foram introduzidos por vários sábios, videntes, profetas e encarnações, para atender aos variados tipos de humanidade. Daqui segue-se naturalmente que credos ou dogmas não são a totalidade da religião; nem a mera filosofia ou 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 xml:space="preserve">erudição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constituem-na. Estes são apenas os caminhos para o Supremo.</w:t>
      </w:r>
    </w:p>
    <w:p w14:paraId="41C7C8BC" w14:textId="64426D79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Em outras palavras, alcançar a perfeição, a liberdade, é o objetivo da religião. Tudo no mundo trabalha pela liberdade, conscientemente ou não. A evolução das espécies, que uma vez abalou os alicerces religiosos no Ocidente, 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explica como a prova da alma envolvida tentando alcançar cada vez mais liberdade. Não é a matéria, morta e inerte, que faz isso, mas a alma por trás dela. Essa é a diferença entre o vivo e o morto, pois enquanto no vivo há uma luta por mais e mais liberdade, no morto tudo é prisão. Swami Vivekananda diz: 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Esse esforço para alcançar a liberdade está subjacente a todas as formas de adoração, quer saibamos disso ou não.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Onde quer que encontremos adoração — em qualquer forma rudimentar que seja, por mais grosseira que possa parecer para nós — há esse desejo de obter mais liberdade, propiciando o que os adoradores acreditam </w:t>
      </w:r>
      <w:r w:rsidR="009E4CF0" w:rsidRPr="00173C49">
        <w:rPr>
          <w:rFonts w:ascii="Book Antiqua" w:eastAsia="Verdana" w:hAnsi="Book Antiqua" w:cs="Verdana"/>
          <w:sz w:val="26"/>
          <w:szCs w:val="26"/>
          <w:lang w:bidi="ar-SA"/>
        </w:rPr>
        <w:t>ser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em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seres superiores e mais poderosos. 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Esse anseio por liberdade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observa Swami Vivekananda, 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produz a ideia de um Ser que é absolutamente livre.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 xml:space="preserve">’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Este Ser, que é eternamente puro, eternamente livre, onisciente e onipotente, é chamado de Deus. E Ele é a base da religião.</w:t>
      </w:r>
    </w:p>
    <w:p w14:paraId="48EB3277" w14:textId="3A575538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No entanto, o conceito de Deus do homem é diverso. Apesar das opiniões divergentes sobre Deus,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 xml:space="preserve"> isso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foi amplamente provado recentemente por Sri Ramakrishna, através de sua prática das disciplinas e realizações finais daquelas próprias seitas e religiões que eram consideradas hostis umas às outras. No final dessas práticas, ele atingiu o mesmo objetivo. A variedade não deve nos assustar. Porque há uma unidade subjacente a essa variedade. Religião em qualquer lugar significa atingir o 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>Supremo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Quando chegarmos até Ele, </w:t>
      </w:r>
      <w:r w:rsidR="009E4CF0">
        <w:rPr>
          <w:rFonts w:ascii="Book Antiqua" w:eastAsia="Verdana" w:hAnsi="Book Antiqua" w:cs="Verdana"/>
          <w:sz w:val="26"/>
          <w:szCs w:val="26"/>
          <w:lang w:bidi="ar-SA"/>
        </w:rPr>
        <w:t xml:space="preserve">só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então teremos uma religião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 xml:space="preserve"> digna do nome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É por isso que Swami Vivekananda repetidamente disse: 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Religião é realização e não 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erudição [livresca]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ou argumentação.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Esse é o significado primário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>d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e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religião. Todo o resto é secundário ou até terciário. Realizamos Deus? Então 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seremos religiosos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Pelo menos tentamos alcançá-lo? Então estamos no caminho da religião. Mera denúncia ou condenação do outro não é religião. No entanto, com mais frequência nos comportamos como os homens cegos que foram descobrir a aparência de um elefante. Cada um tocando uma parte do animal, descreveu-o como um pilar, uma corda, um leque e coisas do tipo. </w:t>
      </w:r>
      <w:r w:rsidRPr="000E071C">
        <w:rPr>
          <w:rFonts w:ascii="Book Antiqua" w:eastAsia="Verdana" w:hAnsi="Book Antiqua" w:cs="Verdana"/>
          <w:b/>
          <w:bCs/>
          <w:sz w:val="26"/>
          <w:szCs w:val="26"/>
          <w:lang w:bidi="ar-SA"/>
        </w:rPr>
        <w:t>Da mesma forma, pessoas com mentes preconceituosas se recusam a admitir que Deus possa ser algo além do que pensam que Ele é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Será que Deus, que eles professam ser </w:t>
      </w:r>
      <w:proofErr w:type="gram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onipotente e onisciente</w:t>
      </w:r>
      <w:proofErr w:type="gram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é tão pequeno que podem conhecê-Lo completamente com suas pequenas mentes? Mas é exatamente isso que a maioria das pessoas está fazendo. Elas querem, por assim dizer, impor um limite a Ele para que Ele não seja nada além disso. Devem estar pensando que são mais poderosas e sábias do que Deus, pois quem mais pode ditar 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condições aos outros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, senão uma pessoa mais poderosa do que el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e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s? Tal proposição, pela sua incongruência, fará até mesmo o homem comum </w:t>
      </w:r>
      <w:r w:rsidR="000E071C">
        <w:rPr>
          <w:rFonts w:ascii="Book Antiqua" w:eastAsia="Verdana" w:hAnsi="Book Antiqua" w:cs="Verdana"/>
          <w:sz w:val="26"/>
          <w:szCs w:val="26"/>
          <w:lang w:bidi="ar-SA"/>
        </w:rPr>
        <w:t>d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a rua rir.</w:t>
      </w:r>
    </w:p>
    <w:p w14:paraId="01FBE703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37DA0128" w14:textId="737DFE86" w:rsidR="000F7C62" w:rsidRPr="000E071C" w:rsidRDefault="000F7C62" w:rsidP="000E071C">
      <w:pPr>
        <w:ind w:left="0" w:firstLine="0"/>
        <w:jc w:val="center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  <w:r w:rsidRPr="000E071C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>Conceito de Deus</w:t>
      </w:r>
      <w:r w:rsidR="00216BD7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 xml:space="preserve"> da Vedanta</w:t>
      </w:r>
    </w:p>
    <w:p w14:paraId="416B35AC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48F6E5AB" w14:textId="053C0200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Qual é o conceito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vedantin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de Deus? O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vedantin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diz: Deus é </w:t>
      </w:r>
      <w:r w:rsidRPr="00BB5E2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Sat-</w:t>
      </w:r>
      <w:proofErr w:type="spellStart"/>
      <w:r w:rsidRPr="00BB5E2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Chit</w:t>
      </w:r>
      <w:proofErr w:type="spellEnd"/>
      <w:r w:rsidRPr="00BB5E2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-Ananda</w:t>
      </w:r>
      <w:r w:rsidR="00216BD7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(Existência-Conhecimento-Bem-Aventurança).</w:t>
      </w:r>
      <w:r w:rsidR="00216BD7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Existência que é eterna,</w:t>
      </w:r>
      <w:r w:rsidR="00216BD7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>C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onhecimento que é infinito e Bem-Aventurança que é sem fim. Até nós existimos por causa dessa Existência. Ele é a essência do nosso conhecimento, e até a maior felicidade que um homem desfruta neste mundo é uma fração infinitesimal dessa Bem-Aventurança. Além disso,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 xml:space="preserve"> 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diz: 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Daquele de quem esses seres nascem, em quem esses seres criados vivem; para quem todos se apressam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 xml:space="preserve"> a ir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 em quem todos entram novamente, conheça isso. Isso é Brahman</w:t>
      </w:r>
      <w:r w:rsidR="00BB5E27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4"/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>’.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Est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>e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não é um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 xml:space="preserve"> exemplo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isolad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>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onde os </w:t>
      </w:r>
      <w:r w:rsidRPr="00BB5E2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Upanishads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tentam infundir essa ideia em nós. No </w:t>
      </w:r>
      <w:proofErr w:type="spellStart"/>
      <w:r w:rsidRPr="00BB5E2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Chandogya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BB5E2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Upanishad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há a injunção </w:t>
      </w:r>
      <w:r w:rsidR="00BB5E27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Tudo isso é realmente Brahman; medite sobre isso com uma mente calma, sabendo que isso veio </w:t>
      </w:r>
      <w:r w:rsidR="00FC7548">
        <w:rPr>
          <w:rFonts w:ascii="Book Antiqua" w:eastAsia="Verdana" w:hAnsi="Book Antiqua" w:cs="Verdana"/>
          <w:sz w:val="26"/>
          <w:szCs w:val="26"/>
          <w:lang w:bidi="ar-SA"/>
        </w:rPr>
        <w:t>d’E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le, se funde </w:t>
      </w:r>
      <w:r w:rsidR="00FC7548">
        <w:rPr>
          <w:rFonts w:ascii="Book Antiqua" w:eastAsia="Verdana" w:hAnsi="Book Antiqua" w:cs="Verdana"/>
          <w:sz w:val="26"/>
          <w:szCs w:val="26"/>
          <w:lang w:bidi="ar-SA"/>
        </w:rPr>
        <w:t>n’E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le e tem seu lugar </w:t>
      </w:r>
      <w:r w:rsidR="00FC7548">
        <w:rPr>
          <w:rFonts w:ascii="Book Antiqua" w:eastAsia="Verdana" w:hAnsi="Book Antiqua" w:cs="Verdana"/>
          <w:sz w:val="26"/>
          <w:szCs w:val="26"/>
          <w:lang w:bidi="ar-SA"/>
        </w:rPr>
        <w:t>n’E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le.</w:t>
      </w:r>
      <w:r w:rsidR="00FC7548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="00FC7548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5"/>
      </w:r>
    </w:p>
    <w:p w14:paraId="2FF7E36A" w14:textId="77777777" w:rsidR="00530E4F" w:rsidRDefault="000F7C62" w:rsidP="00530E4F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Muitas outras passagens podem ser citadas em apoio à teoria d</w:t>
      </w:r>
      <w:r w:rsidR="00FC7548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de que este mundo surgiu de Brahman, Deus; mas estas são suficientes para convencer os críticos d</w:t>
      </w:r>
      <w:r w:rsidR="00FC7548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Vedanta, se mantiverem a mente aberta, e para verem por si mesmos a profundidade de sua tolice. Como diz o ditado, um homem pode levar um cavalo à água, mas dez não podem fazê-lo beber, então, caso as pessoas tenham fechado as portas de suas mentes e estejam determinadas a não serem convencidas, ninguém pode ajudá-las. Um homem dormindo pode ser acordado, mas não aquele que está fingindo dormir.</w:t>
      </w:r>
    </w:p>
    <w:p w14:paraId="22DB73DD" w14:textId="0096BDED" w:rsidR="000F7C62" w:rsidRPr="00530E4F" w:rsidRDefault="000F7C62" w:rsidP="00530E4F">
      <w:pPr>
        <w:ind w:left="0" w:firstLine="0"/>
        <w:jc w:val="center"/>
        <w:rPr>
          <w:rFonts w:ascii="Book Antiqua" w:eastAsia="Verdana" w:hAnsi="Book Antiqua" w:cs="Verdana"/>
          <w:sz w:val="26"/>
          <w:szCs w:val="26"/>
          <w:lang w:bidi="ar-SA"/>
        </w:rPr>
      </w:pPr>
      <w:r w:rsidRPr="00530E4F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 xml:space="preserve">Onde </w:t>
      </w:r>
      <w:r w:rsidR="00530E4F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>a</w:t>
      </w:r>
      <w:r w:rsidRPr="00530E4F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 xml:space="preserve"> Vedanta se sobressai</w:t>
      </w:r>
    </w:p>
    <w:p w14:paraId="57F8AB7E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79D7E22D" w14:textId="501AD3D8" w:rsidR="000F7C62" w:rsidRPr="00173C49" w:rsidRDefault="00530E4F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diz que o núcleo interno do nosso ser, a vida da nossa vida, a alma da nossa alma é Deus, é Brahman. Muito poucos conseguem entender isso, mesmo 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 xml:space="preserve">intelectualmente. Eles ficam assustados quando 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ousadamente afirma que a divindade é o direito de nascimento do homem. É seu legado. Apenas ele se esqueceu disso. Uma bela ilustração foi dada em um dos </w:t>
      </w:r>
      <w:r w:rsidR="000F7C62" w:rsidRPr="00D45E52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Upanishads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para 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fazer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essa verdade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 xml:space="preserve"> clara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>Todos os seres experimentam esse Brahman todos os dias em seu estado de sono profundo (quando a natureza real reina suprema por si só). No entanto, como a pessoa que é herdeira de uma imensa riqueza, embora ande pelo lugar onde o ouro está escondido, não o alcança, sendo ignorante de sua existência, assim também o homem, cuja verdadeira natureza, que é Brahman, coberta pela ignorância sob a forma de desejos (como fome, luxúria e similares), não o conhece, embora diariamente vá para (experimente) isso.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="00D45E52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6"/>
      </w:r>
    </w:p>
    <w:p w14:paraId="729A8B3E" w14:textId="77777777" w:rsidR="00D45E52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Que concepção maravilhosa do homem o Vedanta nos apresenta: 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Herdeiros da Imortalidade.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="00D45E52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7"/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Com essas palavras, Swami Vivekananda introduziu o conceito d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homem segundo o Vedanta ao público em uma das sessões do Parlamento das Religiões. 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Chega,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disse ele ao povo da Índia, 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 xml:space="preserve">‘de sermos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alimentados por ideias negativas. Levantem-se, sejam heróis. O divino está em vocês. Manifestem-no.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Um filho de aristocrata, se o souber, se encolherá diante de outros por coisas insignificantes? Essa é a excelente ideia que </w:t>
      </w:r>
      <w:r w:rsidR="00D45E52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nos ensina.</w:t>
      </w:r>
    </w:p>
    <w:p w14:paraId="585E5608" w14:textId="2A423379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Estamos muito familiarizados com nossos direitos de nascimento; lutamos e arriscamos tudo em litígios para provar nossos direitos ou exigir nosso patrimônio. Mas o mais precioso de todo o nosso patrimônio, nosso próprio </w:t>
      </w:r>
      <w:r w:rsidR="00F77188" w:rsidRPr="00173C49">
        <w:rPr>
          <w:rFonts w:ascii="Book Antiqua" w:eastAsia="Verdana" w:hAnsi="Book Antiqua" w:cs="Verdana"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esquecemos de reivindicar e nos tornamos mendigos por uma coisa insignificante ou outra. Agarramo-nos ao nosso corpo como o </w:t>
      </w:r>
      <w:r w:rsidRPr="005D1961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alfa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 </w:t>
      </w:r>
      <w:r w:rsidRPr="005D1961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ômega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da nossa vida. Esse apego à nossa falsa personalidade é a ruína do homem. Pois ele se considera uma pessoa dotada de corpo e mente e nada mais do que isso, ele quer ver seu Deus também como uma pessoa. O Vedanta não diz que isso está errado. Ele até encoraja esse conceito. Pois sabe que assim que o homem tiver sua natureza perfeita manifestada nele, ele não será mais estreito e intolerante. Aqui somos lembrados de como Sri Ramakrishna ensinou essa lição a 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M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o escritor do Evangelho de Sri Ramakrishna. 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5D1961" w:rsidRPr="00173C49">
        <w:rPr>
          <w:rFonts w:ascii="Book Antiqua" w:eastAsia="Verdana" w:hAnsi="Book Antiqua" w:cs="Verdana"/>
          <w:sz w:val="26"/>
          <w:szCs w:val="26"/>
          <w:lang w:bidi="ar-SA"/>
        </w:rPr>
        <w:t>M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tinha vindo a Dakshineswar pela segunda vez. Sendo educado nas ciências ocidentais, ele era racionalista em sua visão. 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5D1961" w:rsidRPr="00173C49">
        <w:rPr>
          <w:rFonts w:ascii="Book Antiqua" w:eastAsia="Verdana" w:hAnsi="Book Antiqua" w:cs="Verdana"/>
          <w:sz w:val="26"/>
          <w:szCs w:val="26"/>
          <w:lang w:bidi="ar-SA"/>
        </w:rPr>
        <w:t>M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achava que as pessoas que adoravam imagens deveriam ser questionadas para ter Deus em vista enquanto o faziam e não deveriam adorar barro ou pedra. A severa reprimenda do Mestre nessa ocasião silenciou para sempre a natureza argumentativa de 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5D1961" w:rsidRPr="00173C49">
        <w:rPr>
          <w:rFonts w:ascii="Book Antiqua" w:eastAsia="Verdana" w:hAnsi="Book Antiqua" w:cs="Verdana"/>
          <w:sz w:val="26"/>
          <w:szCs w:val="26"/>
          <w:lang w:bidi="ar-SA"/>
        </w:rPr>
        <w:t>M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Sri Ramakrishna disse: 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Essa é a mania de vocês, gente de Calcutá — dar palestras e trazer os outros para a luz! Ninguém nunca 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 xml:space="preserve">se detém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para considerar como obter a luz por si mesmo. Quem são vocês para ensinar os outros</w:t>
      </w:r>
      <w:r w:rsidR="005D1961">
        <w:rPr>
          <w:rFonts w:ascii="Book Antiqua" w:eastAsia="Verdana" w:hAnsi="Book Antiqua" w:cs="Verdana"/>
          <w:sz w:val="26"/>
          <w:szCs w:val="26"/>
          <w:lang w:bidi="ar-SA"/>
        </w:rPr>
        <w:t>?</w:t>
      </w:r>
    </w:p>
    <w:p w14:paraId="38E8988C" w14:textId="1D19EFC9" w:rsidR="000F7C62" w:rsidRPr="00173C49" w:rsidRDefault="005D1961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Aquele que é o Senhor do Universo ensinará a todos. Somente Ele nos ensina, que criou este universo; que fez o sol e a lua, homens e animais, e todos os outros seres; que providenciou meios para sua subsistência; que deu aos filhos pais e os dotou de amor para criá-los. O Senhor fez tantas coisas — Ele não mostrará às pessoas 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 xml:space="preserve">o caminho para adorá-Lo? Se precisarem de ensino, então Ele será o </w:t>
      </w:r>
      <w:r>
        <w:rPr>
          <w:rFonts w:ascii="Book Antiqua" w:eastAsia="Verdana" w:hAnsi="Book Antiqua" w:cs="Verdana"/>
          <w:sz w:val="26"/>
          <w:szCs w:val="26"/>
          <w:lang w:bidi="ar-SA"/>
        </w:rPr>
        <w:t>Mestre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>. Ele é nosso Guia Interior.</w:t>
      </w:r>
    </w:p>
    <w:p w14:paraId="4A9022E6" w14:textId="3D758989" w:rsidR="000F7C62" w:rsidRPr="00173C49" w:rsidRDefault="005D1961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="000F7C62" w:rsidRPr="00173C49">
        <w:rPr>
          <w:rFonts w:ascii="Book Antiqua" w:eastAsia="Verdana" w:hAnsi="Book Antiqua" w:cs="Verdana"/>
          <w:sz w:val="26"/>
          <w:szCs w:val="26"/>
          <w:lang w:bidi="ar-SA"/>
        </w:rPr>
        <w:t>Suponha que haja um erro ao adorar a imagem de barro; Deus não sabe que através dela apenas Ele está sendo invocado? Ele ficará satisfeito com essa própria adoração. Por que você deveria ter dor de cabeça por isso? É melhor você buscar conhecimento e devoção por si mesmo.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’</w:t>
      </w:r>
    </w:p>
    <w:p w14:paraId="14F379EB" w14:textId="62DC35C1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Para aqueles que quiserem ouvir, 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tem algo mais a oferecer. Ele diz que sua verdadeira natureza é Brahman: 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Tu és Isso.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’</w:t>
      </w:r>
    </w:p>
    <w:p w14:paraId="5F1DA468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4C4D446E" w14:textId="3FB250E9" w:rsidR="000F7C62" w:rsidRPr="00213910" w:rsidRDefault="000F7C62" w:rsidP="00213910">
      <w:pPr>
        <w:ind w:left="0" w:firstLine="0"/>
        <w:jc w:val="center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  <w:r w:rsidRPr="00213910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 xml:space="preserve">Má Compreensão sobre </w:t>
      </w:r>
      <w:r w:rsidR="00213910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>a</w:t>
      </w:r>
      <w:r w:rsidRPr="00213910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 xml:space="preserve"> Vedanta</w:t>
      </w:r>
    </w:p>
    <w:p w14:paraId="4B4702D5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7E447B2B" w14:textId="5F50F82A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A verdadeira má compreensão começa aqui, nesta fase. Como pode 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 xml:space="preserve">sobre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aquele Ser infinito, onisciente, onipotente e onipresente ser dito ter se tornado limitado em uma prisão de carne e ossos? Que outra blasfêmia poderia haver além dessa? Perguntem àqueles para quem essa é uma ideia estranha e fantástica. Todos sabemos como até mesmo um gigante intelectual, como Swami Vivekananda, com inclinação religiosa desde o nascimento, por assim dizer, no início de sua carreira espiritual teve dificuldade em aceitar, ou melhor, rebelou-se contra esse conceito: 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Tudo isto é Brahman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; também sabemos como o Mestre trouxe essa verdade ao seu discípulo amado com seu toque místico; e como mais tarde o próprio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Swamiji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alcançou as alturas vertiginosas dessa realização. Não é de surpreender, então, que pessoas que não foram criadas na tradição falhem em entender o significado do texto e divaguem à sua própria maneira. No entanto, se houver um desejo genuíno de saber, se não houver ideias preconcebidas para obstruir, atrapalhar e mutilar sua visão, não é tão difícil entender essa grande noção, pelo menos intelectualmente. Com isso, não queremos dizer que todos deveriam se tornar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vedantins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. Isso não é possível. Esta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ndo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plenamente ciente do fato de que nem todos os homens têm gostos idênticos e desenvolvimento mental, os próprios Vedas prescreveram coisas como sacrifícios para preparar o homem para o fim mais elevado. Agora, o que o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vedantin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pede a todos é que não sejam dogmáticos quando dizem que o homem é isso ou aquilo, quando querem dizer que Deus é tal e tal coisa. Lembrem-se do ditado 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na casa de meu pai há muitas moradas</w:t>
      </w:r>
      <w:r w:rsidR="00213910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; podemos estar vivendo em uma e nossos irmãos em uma segunda ou terceira. Devemos, por isso, odiar ou desprezar aqueles que vivem em outras moradas? O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vedantin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não tem conflito com ninguém, exceto com fanáticos e intolerantes que estão determinados a matar o espírito da própria religião.</w:t>
      </w:r>
    </w:p>
    <w:p w14:paraId="24362000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4B7671BF" w14:textId="330A2D29" w:rsidR="000F7C62" w:rsidRPr="00213910" w:rsidRDefault="000F7C62" w:rsidP="00213910">
      <w:pPr>
        <w:ind w:left="0" w:firstLine="0"/>
        <w:jc w:val="center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  <w:r w:rsidRPr="00213910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 xml:space="preserve">O Verdadeiro Significado dos </w:t>
      </w:r>
      <w:proofErr w:type="spellStart"/>
      <w:r w:rsidRPr="00213910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>Mahavakyas</w:t>
      </w:r>
      <w:proofErr w:type="spellEnd"/>
    </w:p>
    <w:p w14:paraId="19F68CBF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2282457E" w14:textId="37240855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Agora vamos entender qual é o verdadeiro significado dos </w:t>
      </w:r>
      <w:proofErr w:type="spellStart"/>
      <w:r w:rsidRPr="0030597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mahavakyas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que são de natureza tão confusa: </w:t>
      </w:r>
      <w:r w:rsidR="0030597A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proofErr w:type="spellStart"/>
      <w:r w:rsidRPr="0030597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Tattvamasi</w:t>
      </w:r>
      <w:proofErr w:type="spellEnd"/>
      <w:r w:rsidR="0030597A" w:rsidRPr="0030597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(Tu és Isso), </w:t>
      </w:r>
      <w:r w:rsidR="0030597A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proofErr w:type="spellStart"/>
      <w:r w:rsidRPr="0030597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Aham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proofErr w:type="spellStart"/>
      <w:r w:rsidRPr="0030597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Brahmasmi</w:t>
      </w:r>
      <w:proofErr w:type="spellEnd"/>
      <w:r w:rsidR="0030597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(Eu sou Brahman), etc. Primeiro de tudo, se soubermos a quem essas verdades foram ensinadas nos </w:t>
      </w:r>
      <w:r w:rsidR="0030597A">
        <w:rPr>
          <w:rFonts w:ascii="Book Antiqua" w:eastAsia="Verdana" w:hAnsi="Book Antiqua" w:cs="Verdana"/>
          <w:sz w:val="26"/>
          <w:szCs w:val="26"/>
          <w:lang w:bidi="ar-SA"/>
        </w:rPr>
        <w:t>tempos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antigos, muito da névoa e obscuridade que envolve nossa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>compreensão se dissipará. Antigamente, os discípulos, em uma idade muito impressionável, buscavam o mestre, viviam com ele, serviam-no e aprendiam com ele, bem como por meio de sua vida. Esse era o modo de ensino naquela época. O p</w:t>
      </w:r>
      <w:r w:rsidR="0030597A">
        <w:rPr>
          <w:rFonts w:ascii="Book Antiqua" w:eastAsia="Verdana" w:hAnsi="Book Antiqua" w:cs="Verdana"/>
          <w:sz w:val="26"/>
          <w:szCs w:val="26"/>
          <w:lang w:bidi="ar-SA"/>
        </w:rPr>
        <w:t>receptor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conhecia o aluno profundamente, suas tendências, aptidões, perspicácia intelectual e, mais do que isso, seus potenciais espirituais.</w:t>
      </w:r>
    </w:p>
    <w:p w14:paraId="69986C5F" w14:textId="2EC567E2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No </w:t>
      </w:r>
      <w:proofErr w:type="spellStart"/>
      <w:r w:rsidRPr="0030597A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Prasnopanishad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há uma história. Seis discípulos se aproximaram de um sábio chamado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Pippalada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buscando conhecimento. O sábio perguntou aos discípulos: </w:t>
      </w:r>
      <w:r w:rsidR="006F5BAE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Vivam aqui novamente observando austeridades, castidade, com fé (</w:t>
      </w:r>
      <w:proofErr w:type="spellStart"/>
      <w:r w:rsidRPr="006F5BAE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shraddha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) e servindo o guru por mais um ano. Depois disso, façam as perguntas sobre os assuntos que cada um deseja conhecer, e eu responderei, se eu souber.</w:t>
      </w:r>
      <w:r w:rsidR="006F5BAE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6F5BAE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8"/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Este era o método de abordagem: ensinar aquilo que alguém desejava conhecer.</w:t>
      </w:r>
    </w:p>
    <w:p w14:paraId="0F8B185E" w14:textId="37237324" w:rsidR="006F5BAE" w:rsidRPr="006F5BAE" w:rsidRDefault="006F5BAE" w:rsidP="006F5BAE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6F5BAE">
        <w:rPr>
          <w:rFonts w:ascii="Book Antiqua" w:eastAsia="Verdana" w:hAnsi="Book Antiqua" w:cs="Verdana"/>
          <w:sz w:val="26"/>
          <w:szCs w:val="26"/>
          <w:lang w:bidi="ar-SA"/>
        </w:rPr>
        <w:t xml:space="preserve">Assim, a </w:t>
      </w:r>
      <w:r>
        <w:rPr>
          <w:rFonts w:ascii="Book Antiqua" w:eastAsia="Verdana" w:hAnsi="Book Antiqua" w:cs="Verdana"/>
          <w:sz w:val="26"/>
          <w:szCs w:val="26"/>
          <w:lang w:bidi="ar-SA"/>
        </w:rPr>
        <w:t>pedra sílex [que produz o fogo]</w:t>
      </w:r>
      <w:r w:rsidRPr="006F5BAE">
        <w:rPr>
          <w:rFonts w:ascii="Book Antiqua" w:eastAsia="Verdana" w:hAnsi="Book Antiqua" w:cs="Verdana"/>
          <w:sz w:val="26"/>
          <w:szCs w:val="26"/>
          <w:lang w:bidi="ar-SA"/>
        </w:rPr>
        <w:t xml:space="preserve"> estaria sendo preparada pela disciplina sob a orientação do mestre, e, quando chegasse o momento oportuno, o mestre golpeava, e o fogo do conhecimento era aceso. Quando esse terreno estivesse preparado, quando o discípulo fosse completamente testado e considerado apto, ele era instruído na mais elevada verdade.</w:t>
      </w:r>
    </w:p>
    <w:p w14:paraId="01586D6F" w14:textId="40A9226C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Então, </w:t>
      </w:r>
      <w:r w:rsidR="006F5BAE">
        <w:rPr>
          <w:rFonts w:ascii="Book Antiqua" w:eastAsia="Verdana" w:hAnsi="Book Antiqua" w:cs="Verdana"/>
          <w:sz w:val="26"/>
          <w:szCs w:val="26"/>
          <w:lang w:bidi="ar-SA"/>
        </w:rPr>
        <w:t>“Aquilo tu és”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ou </w:t>
      </w:r>
      <w:r w:rsidR="006F5BAE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Eu sou Brahman</w:t>
      </w:r>
      <w:r w:rsidR="006F5BAE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não significa que o indivíduo chamado Fulano de Tal é Brahman. Entender esses grandes ensinamentos dessa maneira seria desastroso para a vida espiritual de alguém.</w:t>
      </w:r>
    </w:p>
    <w:p w14:paraId="7B352AAD" w14:textId="51049EF6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Um exemplo dessa compreensão pervertida também nos é apresentado no </w:t>
      </w:r>
      <w:proofErr w:type="spellStart"/>
      <w:r w:rsidRPr="00017BF0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Chandogya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017BF0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Upanishad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na forma de uma história, como um aviso.</w:t>
      </w:r>
    </w:p>
    <w:p w14:paraId="0EFEDB7B" w14:textId="3165E3D3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Certa vez,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(o Criador) anunciou: 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O </w:t>
      </w:r>
      <w:r w:rsidR="00017BF0" w:rsidRPr="00273B99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, que é intocado pela impureza, desprovido de velhice, imortal, livre de dor, não sujeito à fome e à sede, cujos desejos se realizam, cujos pensamentos se realizam, deve ser buscado, deve ser conhecido. Quem o compreende, tendo sido ensinado (por um mestre), obtém todos os mundos e todos os desejos.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017BF0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9"/>
      </w:r>
    </w:p>
    <w:p w14:paraId="291B161C" w14:textId="5963A547" w:rsidR="00017BF0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Ao ouvir isso, Indra entre os deuses e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Virochana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entre os demônios se aproximaram de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com o devido respeito e, após algum tempo vivendo e servindo-O, pediram-Lhe que lhes ensinasse esse conhecimento supremo.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disse: 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O </w:t>
      </w:r>
      <w:proofErr w:type="spellStart"/>
      <w:r w:rsidRPr="00273B99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Purusha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que é visto no olho é o </w:t>
      </w:r>
      <w:r w:rsidR="00017BF0" w:rsidRPr="00173C49">
        <w:rPr>
          <w:rFonts w:ascii="Book Antiqua" w:eastAsia="Verdana" w:hAnsi="Book Antiqua" w:cs="Verdana"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. Este é imortal, destemido. Este é Brahman.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Eles perguntaram qual era o </w:t>
      </w:r>
      <w:r w:rsidR="00017BF0" w:rsidRPr="00273B99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aquele que era refletido no espelho ou aquele que era refletido na água.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primeiro pediu-lhes para se verem na água e depois novamente após adornarem-se com ornamentos, etc. Ainda não possuindo a pureza mental necessária, eles não conseguiram avaliar o significado dessas instruções de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Descrevendo 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o reflexo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a cada vez, eles perguntaram se aquele era o </w:t>
      </w:r>
      <w:r w:rsidR="00017BF0" w:rsidRPr="003D61E9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que ele queria dizer.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apenas repetiu sua fórmula anterior: </w:t>
      </w:r>
      <w:r w:rsidR="00216BD7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Este é o </w:t>
      </w:r>
      <w:r w:rsidR="00017BF0" w:rsidRPr="00173C49">
        <w:rPr>
          <w:rFonts w:ascii="Book Antiqua" w:eastAsia="Verdana" w:hAnsi="Book Antiqua" w:cs="Verdana"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, este é imortal, destemido. Este é Brahman.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017BF0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10"/>
      </w:r>
    </w:p>
    <w:p w14:paraId="272F2525" w14:textId="10BF857F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Satisfeitos no coração, ambos partiram pensando que tinham conhecido tudo.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vendo-os partirem satisfeitos, disse: 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Eles estão indo embora sem entender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 xml:space="preserve">o </w:t>
      </w:r>
      <w:r w:rsidR="00017BF0">
        <w:rPr>
          <w:rFonts w:ascii="Book Antiqua" w:eastAsia="Verdana" w:hAnsi="Book Antiqua" w:cs="Verdana"/>
          <w:sz w:val="26"/>
          <w:szCs w:val="26"/>
          <w:lang w:bidi="ar-SA"/>
        </w:rPr>
        <w:t>Ser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. Mas qualquer um que vá embora, sejam deuses ou demônios, sem entender este conhecimento perecerá.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BC4967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11"/>
      </w:r>
    </w:p>
    <w:p w14:paraId="569296ED" w14:textId="00896F4E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Dos dois,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Virochana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firmemente acreditava que o que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quis dizer por </w:t>
      </w:r>
      <w:r w:rsidR="00BC4967" w:rsidRPr="00173C49">
        <w:rPr>
          <w:rFonts w:ascii="Book Antiqua" w:eastAsia="Verdana" w:hAnsi="Book Antiqua" w:cs="Verdana"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era o corpo, e foi embora perfeitamente satisfeito, ensinando seus seguidores a fortalecerem seus corpos. Mas Indra, sendo um pouco mais reflexivo, duvidou dessa doutrina e, ao abordar repetidamente, aprendeu o verdadeiro significado do ensinamento de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Prajapati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Agora, quem foi responsável pelo erro de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Virochana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? Sua própria falta de reflexão, sua falta de introspecção. Assim, se algumas pessoas no mundo, mesmo nos dias atuais, não conseguem entender o verdadeiro significado desses grandes ensinamentos ou os interpretam erroneamente de maneira deliberada, os </w:t>
      </w:r>
      <w:proofErr w:type="spellStart"/>
      <w:r w:rsidRPr="00BC496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Shruti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não 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são culpados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, nem o mestre que transmite o ensinamento, mas sim essas próprias pessoas.</w:t>
      </w:r>
    </w:p>
    <w:p w14:paraId="50B4E201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0A95DE69" w14:textId="77777777" w:rsidR="00BC4967" w:rsidRDefault="000F7C62" w:rsidP="00BC4967">
      <w:pPr>
        <w:ind w:left="0" w:firstLine="0"/>
        <w:jc w:val="center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  <w:r w:rsidRPr="00BC4967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>Corpo, mente e alma</w:t>
      </w:r>
    </w:p>
    <w:p w14:paraId="4125C1B9" w14:textId="77777777" w:rsidR="00BC4967" w:rsidRDefault="00BC4967" w:rsidP="00BC4967">
      <w:pPr>
        <w:ind w:left="0" w:firstLine="0"/>
        <w:jc w:val="center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</w:p>
    <w:p w14:paraId="01D1BCB3" w14:textId="27CD5974" w:rsidR="000F7C62" w:rsidRPr="00BC4967" w:rsidRDefault="000F7C62" w:rsidP="00BC4967">
      <w:pPr>
        <w:ind w:left="0" w:firstLine="709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O conceito hindu é que o homem possui um corpo e uma mente. Essa diferença se torna mais explícita se usarmos um exemplo. Quando uma pessoa morre, o hindu diz que ela 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deixou o corpo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. Esse uso é significativo. Aqui fica claro que o hindu considera o corpo como um instrumento da alma. Quando a alma já trabalhou tudo o que era útil no corpo, ela o descarta, toma outro e segue adiante. Assim, ela transmigra de corpo em corpo até alcançar aquela perfeição, que é sua natureza inerente. Então, diz-se que a alma foi liberada. Esse elemento, que aparentemente muda seu centro repetidamente, é chamado pel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 de </w:t>
      </w:r>
      <w:r w:rsidR="00BC4967" w:rsidRPr="00173C49">
        <w:rPr>
          <w:rFonts w:ascii="Book Antiqua" w:eastAsia="Verdana" w:hAnsi="Book Antiqua" w:cs="Verdana"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Agora temos duas, ou melhor, três coisas que formam o 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homem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: o corpo, a mente e a alma. Dessas, as duas primeiras são, segundo nossas escrituras, de composição material; o corpo é feito de matéria grosseira e a mente de matéria sutil. A alma é a essência do homem e, sendo da natureza da consciência, faz com que o corpo viva, se mova e exista. Esta é a etapa inicial d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a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Vedanta. O </w:t>
      </w:r>
      <w:proofErr w:type="spellStart"/>
      <w:r w:rsidRPr="00BC4967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Sruti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acredita no progresso gradual do homem, levando-o de 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verdades menores para verdades maiores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. Assim como poucos conseguem suportar mudanças climáticas repentinas e extremas, também muito poucos podem sustentar o choque de uma transformação repentina. É verdade também que nem todos podem subir ao andar de um prédio saltando com vara; muitos precisam da escada. Este é o plano dos Upanishads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 xml:space="preserve"> também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.</w:t>
      </w:r>
    </w:p>
    <w:p w14:paraId="5CEFF208" w14:textId="172E9921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Agora, a segunda etapa é que o </w:t>
      </w:r>
      <w:r w:rsidR="00BC4967" w:rsidRPr="00273B99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Ātman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(o 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Ser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ou a Alma) é parte do infinito Brahman, de Deus. </w:t>
      </w:r>
      <w:r w:rsidR="00BC4967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Assim como de um fogo ardente milhões de faíscas idênticas em aparência voam para fora, similarmente desse Imutável diversos seres nascem e novamente são absorvidos nele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="00567DFC">
        <w:rPr>
          <w:rStyle w:val="Refdenotaderodap"/>
          <w:rFonts w:ascii="Book Antiqua" w:eastAsia="Verdana" w:hAnsi="Book Antiqua" w:cs="Verdana"/>
          <w:sz w:val="26"/>
          <w:szCs w:val="26"/>
          <w:lang w:bidi="ar-SA"/>
        </w:rPr>
        <w:footnoteReference w:id="12"/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diz o </w:t>
      </w:r>
      <w:proofErr w:type="spellStart"/>
      <w:r w:rsidRPr="00567DFC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Sruti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Se e quando as pessoas começarem a distinguir entre seu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Ser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 seu corpo, essa teoria não será tão difícil de digerir. E então, palavras como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Herdeiros da Imortalidade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cada alma é potencialmente divina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podem não soar tão desconcertantes. Pelo contrário, há toda a possibilidade de que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lastRenderedPageBreak/>
        <w:t>pessoas que primeiro se assustaram com essas palavras agora as entendam em um contexto mais claro.</w:t>
      </w:r>
    </w:p>
    <w:p w14:paraId="337673E7" w14:textId="169D3229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Mas o objetivo das escrituras não é criar uma casa pela metade. Elas defendem a verdade, e a verdade não depende da aceitação ou rejeição de ninguém. A lei da gravidade existia e continuaria a existir mesmo se Newton não a tivesse descoberto. O </w:t>
      </w:r>
      <w:proofErr w:type="spellStart"/>
      <w:r w:rsidRPr="00567DFC">
        <w:rPr>
          <w:rFonts w:ascii="Book Antiqua" w:eastAsia="Verdana" w:hAnsi="Book Antiqua" w:cs="Verdana"/>
          <w:i/>
          <w:iCs/>
          <w:sz w:val="26"/>
          <w:szCs w:val="26"/>
          <w:lang w:bidi="ar-SA"/>
        </w:rPr>
        <w:t>Sruti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então avança para a fase final. Ele afirma: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Tudo isso é Brahman.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Não há muitas coisas neste mundo.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Tu és Isso.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Esses são os ensinamentos que pregam a identidade, ou melhor, a unidade na variedade. Sem dúvida, este é um grande salto para o Desconhecido, mas não para a escuridão, e sim para a luz. Poucos são aptos a alcançá-lo, mas por isso não temos o direito de menosprezá-lo.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Aceite todos os ideais como verdadeiros, mas mantenha o seu próprio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, disse Sri Ramakrishna. Se seguirmos esse conselho, não há necessidade de criticar as visões dos outros.</w:t>
      </w:r>
    </w:p>
    <w:p w14:paraId="6919451E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097D8A2F" w14:textId="577FDF8F" w:rsidR="000F7C62" w:rsidRPr="00567DFC" w:rsidRDefault="000F7C62" w:rsidP="00567DFC">
      <w:pPr>
        <w:ind w:left="0" w:firstLine="0"/>
        <w:jc w:val="center"/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</w:pPr>
      <w:r w:rsidRPr="00567DFC">
        <w:rPr>
          <w:rFonts w:ascii="Book Antiqua" w:eastAsia="Verdana" w:hAnsi="Book Antiqua" w:cs="Verdana"/>
          <w:b/>
          <w:bCs/>
          <w:i/>
          <w:iCs/>
          <w:sz w:val="28"/>
          <w:szCs w:val="28"/>
          <w:lang w:bidi="ar-SA"/>
        </w:rPr>
        <w:t>Religião não é Fanatismo</w:t>
      </w:r>
    </w:p>
    <w:p w14:paraId="302AF156" w14:textId="77777777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7A7935EC" w14:textId="2CA428D9" w:rsidR="000F7C62" w:rsidRPr="00173C49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Finalmente, não deve ser esquecido que </w:t>
      </w:r>
      <w:r w:rsidRPr="00273B99">
        <w:rPr>
          <w:rFonts w:ascii="Book Antiqua" w:eastAsia="Verdana" w:hAnsi="Book Antiqua" w:cs="Verdana"/>
          <w:b/>
          <w:bCs/>
          <w:sz w:val="26"/>
          <w:szCs w:val="26"/>
          <w:lang w:bidi="ar-SA"/>
        </w:rPr>
        <w:t>d</w:t>
      </w:r>
      <w:r w:rsidRPr="00567DFC">
        <w:rPr>
          <w:rFonts w:ascii="Book Antiqua" w:eastAsia="Verdana" w:hAnsi="Book Antiqua" w:cs="Verdana"/>
          <w:b/>
          <w:bCs/>
          <w:sz w:val="26"/>
          <w:szCs w:val="26"/>
          <w:lang w:bidi="ar-SA"/>
        </w:rPr>
        <w:t>ogmatismo, intolerância e fanatismo não têm nada a ver com religião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Há uma vasta diferença entre os três primeiros e a última. </w:t>
      </w:r>
      <w:r w:rsidRPr="00567DFC">
        <w:rPr>
          <w:rFonts w:ascii="Book Antiqua" w:eastAsia="Verdana" w:hAnsi="Book Antiqua" w:cs="Verdana"/>
          <w:b/>
          <w:bCs/>
          <w:sz w:val="26"/>
          <w:szCs w:val="26"/>
          <w:lang w:bidi="ar-SA"/>
        </w:rPr>
        <w:t>O fanatismo é incompatível com a verdadeira religião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Swami Vivekananda apontou: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Os fanáticos não conseguem trabalhar, eles desperdiçam três quartos de sua energia. É o homem calmo, de cabeça fria e prático que trabalha.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Em outras ocasiões, ele comentou: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Esses fanáticos podem fazer algum bem, conforme sua luz, mas causam muito mais mal.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Destacando o infantilismo dominante no fanatismo,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Swamiji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disse: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Quando eu era jovem, achei que o fanatismo fosse um grande elemento no trabalho, mas agora, à medida que envelheço, percebo que não é.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”</w:t>
      </w:r>
    </w:p>
    <w:p w14:paraId="28E2CB52" w14:textId="079F2005" w:rsidR="000F7C62" w:rsidRDefault="000F7C62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Um incidente na vida de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Swamiji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que ele relatou a uma plateia no Ocidente, traz claramente o significado do fanatismo: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Recebi um livro que dizia que eu deveria acreditar em tudo o que estava escrito nele. Dizia que não havia alma, mas que havia deuses e deusas no céu, e um fio de luz saindo de cada uma de nossas cabeças até o céu! Como o autor sabia de todas essas coisas? Ela tinha sido inspirada e queria que eu também acreditasse, e porque me recusei, ela disse: 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‘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Você deve ser um homem muito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mau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; não há esperança para você!</w:t>
      </w:r>
      <w:r w:rsidR="00567DFC">
        <w:rPr>
          <w:rFonts w:ascii="Book Antiqua" w:eastAsia="Verdana" w:hAnsi="Book Antiqua" w:cs="Verdana"/>
          <w:sz w:val="26"/>
          <w:szCs w:val="26"/>
          <w:lang w:bidi="ar-SA"/>
        </w:rPr>
        <w:t>’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Isso é fanatismo.</w:t>
      </w:r>
      <w:r w:rsidR="00E26BD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O quão devastador o fanatismo tem sido para a vida humana pode ser melhor conhecido pela história. </w:t>
      </w:r>
      <w:r w:rsidR="00E26BD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Os fanáticos só criam ódio</w:t>
      </w:r>
      <w:r w:rsidR="00E26BD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alertou </w:t>
      </w:r>
      <w:proofErr w:type="spellStart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Swamiji</w:t>
      </w:r>
      <w:proofErr w:type="spellEnd"/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. A história provou isso. Rios de sangue inocente fluíram nesta terra, inquisições foram realizadas e tudo isso foi feito em nome do fanatismo. </w:t>
      </w:r>
      <w:r w:rsidRPr="00E26BDC">
        <w:rPr>
          <w:rFonts w:ascii="Book Antiqua" w:eastAsia="Verdana" w:hAnsi="Book Antiqua" w:cs="Verdana"/>
          <w:b/>
          <w:bCs/>
          <w:sz w:val="26"/>
          <w:szCs w:val="26"/>
          <w:lang w:bidi="ar-SA"/>
        </w:rPr>
        <w:t>Pode a verdadeira religião ter algo a ver com essas coisas?</w:t>
      </w:r>
      <w:r w:rsidR="00E26BDC">
        <w:rPr>
          <w:rFonts w:ascii="Book Antiqua" w:eastAsia="Verdana" w:hAnsi="Book Antiqua" w:cs="Verdana"/>
          <w:sz w:val="26"/>
          <w:szCs w:val="26"/>
          <w:lang w:bidi="ar-SA"/>
        </w:rPr>
        <w:t xml:space="preserve"> 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A religião prega: </w:t>
      </w:r>
      <w:r w:rsidR="00E26BDC">
        <w:rPr>
          <w:rFonts w:ascii="Book Antiqua" w:eastAsia="Verdana" w:hAnsi="Book Antiqua" w:cs="Verdana"/>
          <w:sz w:val="26"/>
          <w:szCs w:val="26"/>
          <w:lang w:bidi="ar-SA"/>
        </w:rPr>
        <w:t>“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>Ame o próximo como a ti mesmo</w:t>
      </w:r>
      <w:r w:rsidR="00E26BDC">
        <w:rPr>
          <w:rFonts w:ascii="Book Antiqua" w:eastAsia="Verdana" w:hAnsi="Book Antiqua" w:cs="Verdana"/>
          <w:sz w:val="26"/>
          <w:szCs w:val="26"/>
          <w:lang w:bidi="ar-SA"/>
        </w:rPr>
        <w:t>”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, e o que o fanatismo faz é exatamente o oposto. Portanto, devemos </w:t>
      </w:r>
      <w:r w:rsidR="00E26BDC">
        <w:rPr>
          <w:rFonts w:ascii="Book Antiqua" w:eastAsia="Verdana" w:hAnsi="Book Antiqua" w:cs="Verdana"/>
          <w:sz w:val="26"/>
          <w:szCs w:val="26"/>
          <w:lang w:bidi="ar-SA"/>
        </w:rPr>
        <w:t>afastar</w:t>
      </w:r>
      <w:r w:rsidRPr="00173C49">
        <w:rPr>
          <w:rFonts w:ascii="Book Antiqua" w:eastAsia="Verdana" w:hAnsi="Book Antiqua" w:cs="Verdana"/>
          <w:sz w:val="26"/>
          <w:szCs w:val="26"/>
          <w:lang w:bidi="ar-SA"/>
        </w:rPr>
        <w:t xml:space="preserve"> o fanatismo de nosso meio e aprender a viver amigavelmente.</w:t>
      </w:r>
    </w:p>
    <w:p w14:paraId="464942A6" w14:textId="77777777" w:rsidR="00E26BDC" w:rsidRDefault="00E26BDC" w:rsidP="007E7D69">
      <w:pPr>
        <w:ind w:left="0" w:firstLine="709"/>
        <w:rPr>
          <w:rFonts w:ascii="Book Antiqua" w:eastAsia="Verdana" w:hAnsi="Book Antiqua" w:cs="Verdana"/>
          <w:sz w:val="26"/>
          <w:szCs w:val="26"/>
          <w:lang w:bidi="ar-SA"/>
        </w:rPr>
      </w:pPr>
    </w:p>
    <w:p w14:paraId="148AC227" w14:textId="40D88801" w:rsidR="00E26BDC" w:rsidRPr="00173C49" w:rsidRDefault="00E26BDC" w:rsidP="00E26BDC">
      <w:pPr>
        <w:ind w:left="0" w:firstLine="0"/>
        <w:jc w:val="center"/>
        <w:rPr>
          <w:rFonts w:ascii="Book Antiqua" w:eastAsia="Verdana" w:hAnsi="Book Antiqua" w:cs="Verdana"/>
          <w:sz w:val="26"/>
          <w:szCs w:val="26"/>
          <w:lang w:bidi="ar-SA"/>
        </w:rPr>
      </w:pPr>
      <w:r>
        <w:rPr>
          <w:rFonts w:ascii="Book Antiqua" w:eastAsia="Verdana" w:hAnsi="Book Antiqua" w:cs="Verdana"/>
          <w:sz w:val="26"/>
          <w:szCs w:val="26"/>
          <w:lang w:bidi="ar-SA"/>
        </w:rPr>
        <w:t>●   ●   ●   ●</w:t>
      </w:r>
    </w:p>
    <w:sectPr w:rsidR="00E26BDC" w:rsidRPr="00173C49" w:rsidSect="00173C49">
      <w:footerReference w:type="default" r:id="rId7"/>
      <w:type w:val="continuous"/>
      <w:pgSz w:w="11910" w:h="16840"/>
      <w:pgMar w:top="1440" w:right="1080" w:bottom="1440" w:left="1080" w:header="0" w:footer="106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AEC3C" w14:textId="77777777" w:rsidR="00B05382" w:rsidRDefault="00B05382" w:rsidP="00173C49">
      <w:pPr>
        <w:spacing w:line="240" w:lineRule="auto"/>
      </w:pPr>
      <w:r>
        <w:separator/>
      </w:r>
    </w:p>
  </w:endnote>
  <w:endnote w:type="continuationSeparator" w:id="0">
    <w:p w14:paraId="4DAFD377" w14:textId="77777777" w:rsidR="00B05382" w:rsidRDefault="00B05382" w:rsidP="00173C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1326682"/>
      <w:docPartObj>
        <w:docPartGallery w:val="Page Numbers (Bottom of Page)"/>
        <w:docPartUnique/>
      </w:docPartObj>
    </w:sdtPr>
    <w:sdtContent>
      <w:p w14:paraId="6A3DF8F3" w14:textId="01D9B987" w:rsidR="00670792" w:rsidRDefault="00670792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0EEA49" w14:textId="77777777" w:rsidR="00670792" w:rsidRDefault="006707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004E8" w14:textId="77777777" w:rsidR="00B05382" w:rsidRDefault="00B05382" w:rsidP="00173C49">
      <w:pPr>
        <w:spacing w:line="240" w:lineRule="auto"/>
      </w:pPr>
      <w:r>
        <w:separator/>
      </w:r>
    </w:p>
  </w:footnote>
  <w:footnote w:type="continuationSeparator" w:id="0">
    <w:p w14:paraId="6F758393" w14:textId="77777777" w:rsidR="00B05382" w:rsidRDefault="00B05382" w:rsidP="00173C49">
      <w:pPr>
        <w:spacing w:line="240" w:lineRule="auto"/>
      </w:pPr>
      <w:r>
        <w:continuationSeparator/>
      </w:r>
    </w:p>
  </w:footnote>
  <w:footnote w:id="1">
    <w:p w14:paraId="017AB3A2" w14:textId="77777777" w:rsidR="00173C49" w:rsidRDefault="00173C49" w:rsidP="00173C49">
      <w:pPr>
        <w:pStyle w:val="Textodenotaderodap"/>
        <w:rPr>
          <w:rFonts w:ascii="Book Antiqua" w:hAnsi="Book Antiqua"/>
        </w:rPr>
      </w:pPr>
      <w:r>
        <w:rPr>
          <w:rStyle w:val="Caracteresdenotaderodap"/>
        </w:rPr>
        <w:footnoteRef/>
      </w:r>
      <w:r>
        <w:tab/>
        <w:t xml:space="preserve"> </w:t>
      </w:r>
      <w:r>
        <w:rPr>
          <w:rFonts w:ascii="Book Antiqua" w:hAnsi="Book Antiqua"/>
        </w:rPr>
        <w:t xml:space="preserve">Swami Paratparananda foi o líder espiritual do Ramakrishna Ashrama, Buenos Aires, Argentina e do Ramakrishna Vedanta Ashrama, São Paulo, Brasil (1973-1988). Anteriormente, durante o período de 1962 a 1967 foi o editor da revista </w:t>
      </w:r>
      <w:r>
        <w:rPr>
          <w:rFonts w:ascii="Book Antiqua" w:hAnsi="Book Antiqua"/>
          <w:i/>
          <w:iCs/>
        </w:rPr>
        <w:t xml:space="preserve">The Vedanta </w:t>
      </w:r>
      <w:proofErr w:type="spellStart"/>
      <w:r>
        <w:rPr>
          <w:rFonts w:ascii="Book Antiqua" w:hAnsi="Book Antiqua"/>
          <w:i/>
          <w:iCs/>
        </w:rPr>
        <w:t>Kesari</w:t>
      </w:r>
      <w:proofErr w:type="spellEnd"/>
      <w:r>
        <w:rPr>
          <w:rFonts w:ascii="Book Antiqua" w:hAnsi="Book Antiqua"/>
        </w:rPr>
        <w:t xml:space="preserve"> da Ordem Ramakrishna na Índia. Veja também, </w:t>
      </w:r>
      <w:hyperlink r:id="rId1">
        <w:r>
          <w:rPr>
            <w:rStyle w:val="Hyperlink"/>
            <w:rFonts w:ascii="Book Antiqua" w:hAnsi="Book Antiqua"/>
          </w:rPr>
          <w:t>https://estudantedavedanta.net/paratparananda.html</w:t>
        </w:r>
      </w:hyperlink>
      <w:r>
        <w:rPr>
          <w:rFonts w:ascii="Book Antiqua" w:hAnsi="Book Antiqua"/>
        </w:rPr>
        <w:t>.</w:t>
      </w:r>
    </w:p>
  </w:footnote>
  <w:footnote w:id="2">
    <w:p w14:paraId="5B49FF9A" w14:textId="14A6AAC1" w:rsidR="00173C49" w:rsidRPr="00180848" w:rsidRDefault="00173C49" w:rsidP="00173C49">
      <w:pPr>
        <w:pStyle w:val="Textodenotaderodap"/>
        <w:rPr>
          <w:rFonts w:ascii="Book Antiqua" w:hAnsi="Book Antiqua"/>
        </w:rPr>
      </w:pPr>
      <w:r w:rsidRPr="00180848">
        <w:rPr>
          <w:rStyle w:val="Caracteresdenotaderodap"/>
        </w:rPr>
        <w:footnoteRef/>
      </w:r>
      <w:r w:rsidRPr="00180848">
        <w:rPr>
          <w:rStyle w:val="Caracteresdenotaderodap"/>
        </w:rPr>
        <w:t xml:space="preserve"> </w:t>
      </w:r>
      <w:r>
        <w:rPr>
          <w:rFonts w:ascii="Book Antiqua" w:hAnsi="Book Antiqua"/>
        </w:rPr>
        <w:tab/>
      </w:r>
      <w:r w:rsidRPr="00180848">
        <w:rPr>
          <w:rFonts w:ascii="Book Antiqua" w:hAnsi="Book Antiqua"/>
        </w:rPr>
        <w:t xml:space="preserve">Do original em inglês, </w:t>
      </w:r>
      <w:proofErr w:type="spellStart"/>
      <w:r>
        <w:rPr>
          <w:rFonts w:ascii="Book Antiqua" w:hAnsi="Book Antiqua"/>
          <w:i/>
          <w:iCs/>
        </w:rPr>
        <w:t>Religion</w:t>
      </w:r>
      <w:proofErr w:type="spellEnd"/>
      <w:r>
        <w:rPr>
          <w:rFonts w:ascii="Book Antiqua" w:hAnsi="Book Antiqua"/>
          <w:i/>
          <w:iCs/>
        </w:rPr>
        <w:t xml:space="preserve"> </w:t>
      </w:r>
      <w:proofErr w:type="spellStart"/>
      <w:r>
        <w:rPr>
          <w:rFonts w:ascii="Book Antiqua" w:hAnsi="Book Antiqua"/>
          <w:i/>
          <w:iCs/>
        </w:rPr>
        <w:t>and</w:t>
      </w:r>
      <w:proofErr w:type="spellEnd"/>
      <w:r>
        <w:rPr>
          <w:rFonts w:ascii="Book Antiqua" w:hAnsi="Book Antiqua"/>
          <w:i/>
          <w:iCs/>
        </w:rPr>
        <w:t xml:space="preserve"> </w:t>
      </w:r>
      <w:proofErr w:type="spellStart"/>
      <w:r>
        <w:rPr>
          <w:rFonts w:ascii="Book Antiqua" w:hAnsi="Book Antiqua"/>
          <w:i/>
          <w:iCs/>
        </w:rPr>
        <w:t>Fanaticism</w:t>
      </w:r>
      <w:proofErr w:type="spellEnd"/>
      <w:r w:rsidRPr="00180848">
        <w:rPr>
          <w:rFonts w:ascii="Book Antiqua" w:hAnsi="Book Antiqua"/>
        </w:rPr>
        <w:t>.</w:t>
      </w:r>
    </w:p>
  </w:footnote>
  <w:footnote w:id="3">
    <w:p w14:paraId="6E42FB55" w14:textId="2AE1C291" w:rsidR="007E7D69" w:rsidRPr="007E7D69" w:rsidRDefault="007E7D69">
      <w:pPr>
        <w:pStyle w:val="Textodenotaderodap"/>
        <w:rPr>
          <w:rFonts w:ascii="Book Antiqua" w:hAnsi="Book Antiqua"/>
        </w:rPr>
      </w:pPr>
      <w:r w:rsidRPr="007E7D69">
        <w:rPr>
          <w:rStyle w:val="Caracteresdenotaderodap"/>
        </w:rPr>
        <w:footnoteRef/>
      </w:r>
      <w:r w:rsidRPr="007E7D69">
        <w:rPr>
          <w:rStyle w:val="Caracteresdenotaderodap"/>
        </w:rPr>
        <w:t xml:space="preserve"> </w:t>
      </w:r>
      <w:r>
        <w:rPr>
          <w:rStyle w:val="Caracteresdenotaderodap"/>
        </w:rPr>
        <w:tab/>
      </w:r>
      <w:r w:rsidRPr="007E7D69">
        <w:rPr>
          <w:rFonts w:ascii="Book Antiqua" w:hAnsi="Book Antiqua"/>
        </w:rPr>
        <w:t xml:space="preserve">Notemos que em 1963 nem se </w:t>
      </w:r>
      <w:r w:rsidR="00670792">
        <w:rPr>
          <w:rFonts w:ascii="Book Antiqua" w:hAnsi="Book Antiqua"/>
        </w:rPr>
        <w:t>pensava</w:t>
      </w:r>
      <w:r w:rsidRPr="007E7D69">
        <w:rPr>
          <w:rFonts w:ascii="Book Antiqua" w:hAnsi="Book Antiqua"/>
        </w:rPr>
        <w:t xml:space="preserve"> em internet e redes sociais.</w:t>
      </w:r>
      <w:r>
        <w:rPr>
          <w:rFonts w:ascii="Book Antiqua" w:hAnsi="Book Antiqua"/>
        </w:rPr>
        <w:t xml:space="preserve"> (nota do tradutor)</w:t>
      </w:r>
    </w:p>
  </w:footnote>
  <w:footnote w:id="4">
    <w:p w14:paraId="2EDA02E0" w14:textId="32C1C174" w:rsidR="00BB5E27" w:rsidRPr="00BB5E27" w:rsidRDefault="00BB5E27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BB5E27">
        <w:rPr>
          <w:rFonts w:ascii="Book Antiqua" w:hAnsi="Book Antiqua"/>
        </w:rPr>
        <w:t>Taittiriyopanishad</w:t>
      </w:r>
      <w:proofErr w:type="spellEnd"/>
      <w:r w:rsidRPr="00BB5E27">
        <w:rPr>
          <w:rFonts w:ascii="Book Antiqua" w:hAnsi="Book Antiqua"/>
        </w:rPr>
        <w:t>, 3-1.</w:t>
      </w:r>
    </w:p>
  </w:footnote>
  <w:footnote w:id="5">
    <w:p w14:paraId="4FA471C4" w14:textId="4577EAC3" w:rsidR="00FC7548" w:rsidRPr="00FC7548" w:rsidRDefault="00FC7548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FC7548">
        <w:rPr>
          <w:rFonts w:ascii="Book Antiqua" w:hAnsi="Book Antiqua"/>
        </w:rPr>
        <w:t>Chandogya</w:t>
      </w:r>
      <w:proofErr w:type="spellEnd"/>
      <w:r w:rsidRPr="00FC7548">
        <w:rPr>
          <w:rFonts w:ascii="Book Antiqua" w:hAnsi="Book Antiqua"/>
        </w:rPr>
        <w:t>, III.14.1.</w:t>
      </w:r>
    </w:p>
  </w:footnote>
  <w:footnote w:id="6">
    <w:p w14:paraId="303DEFDE" w14:textId="4837CC99" w:rsidR="00D45E52" w:rsidRPr="00D45E52" w:rsidRDefault="00D45E52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 w:rsidRPr="00D45E52">
        <w:rPr>
          <w:rFonts w:ascii="Book Antiqua" w:hAnsi="Book Antiqua"/>
        </w:rPr>
        <w:t xml:space="preserve"> Ibid.VIII.3.2.</w:t>
      </w:r>
    </w:p>
  </w:footnote>
  <w:footnote w:id="7">
    <w:p w14:paraId="27E91ADA" w14:textId="750732CA" w:rsidR="00D45E52" w:rsidRPr="00D45E52" w:rsidRDefault="00D45E52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D45E52">
        <w:rPr>
          <w:rFonts w:ascii="Book Antiqua" w:hAnsi="Book Antiqua"/>
        </w:rPr>
        <w:t>Svetasvatara</w:t>
      </w:r>
      <w:proofErr w:type="spellEnd"/>
      <w:r w:rsidRPr="00D45E52">
        <w:rPr>
          <w:rFonts w:ascii="Book Antiqua" w:hAnsi="Book Antiqua"/>
        </w:rPr>
        <w:t xml:space="preserve"> Upanisad,2.5.</w:t>
      </w:r>
    </w:p>
  </w:footnote>
  <w:footnote w:id="8">
    <w:p w14:paraId="662F2590" w14:textId="20A780FE" w:rsidR="006F5BAE" w:rsidRPr="006F5BAE" w:rsidRDefault="006F5BAE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6F5BAE">
        <w:rPr>
          <w:rFonts w:ascii="Book Antiqua" w:hAnsi="Book Antiqua"/>
        </w:rPr>
        <w:t>Prasna</w:t>
      </w:r>
      <w:proofErr w:type="spellEnd"/>
      <w:r w:rsidRPr="006F5BAE">
        <w:rPr>
          <w:rFonts w:ascii="Book Antiqua" w:hAnsi="Book Antiqua"/>
        </w:rPr>
        <w:t xml:space="preserve"> </w:t>
      </w:r>
      <w:proofErr w:type="spellStart"/>
      <w:r w:rsidRPr="006F5BAE">
        <w:rPr>
          <w:rFonts w:ascii="Book Antiqua" w:hAnsi="Book Antiqua"/>
        </w:rPr>
        <w:t>Up</w:t>
      </w:r>
      <w:proofErr w:type="spellEnd"/>
      <w:r w:rsidRPr="006F5BAE">
        <w:rPr>
          <w:rFonts w:ascii="Book Antiqua" w:hAnsi="Book Antiqua"/>
        </w:rPr>
        <w:t>., 1.2</w:t>
      </w:r>
    </w:p>
  </w:footnote>
  <w:footnote w:id="9">
    <w:p w14:paraId="2CE1E920" w14:textId="2D097026" w:rsidR="00017BF0" w:rsidRPr="00017BF0" w:rsidRDefault="00017BF0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017BF0">
        <w:rPr>
          <w:rFonts w:ascii="Book Antiqua" w:hAnsi="Book Antiqua"/>
        </w:rPr>
        <w:t>Chandogya</w:t>
      </w:r>
      <w:proofErr w:type="spellEnd"/>
      <w:r w:rsidRPr="00017BF0">
        <w:rPr>
          <w:rFonts w:ascii="Book Antiqua" w:hAnsi="Book Antiqua"/>
        </w:rPr>
        <w:t xml:space="preserve"> </w:t>
      </w:r>
      <w:proofErr w:type="spellStart"/>
      <w:r w:rsidRPr="00017BF0">
        <w:rPr>
          <w:rFonts w:ascii="Book Antiqua" w:hAnsi="Book Antiqua"/>
        </w:rPr>
        <w:t>Up</w:t>
      </w:r>
      <w:proofErr w:type="spellEnd"/>
      <w:r w:rsidRPr="00017BF0">
        <w:rPr>
          <w:rFonts w:ascii="Book Antiqua" w:hAnsi="Book Antiqua"/>
        </w:rPr>
        <w:t>., 8.7.1.</w:t>
      </w:r>
    </w:p>
  </w:footnote>
  <w:footnote w:id="10">
    <w:p w14:paraId="475127CA" w14:textId="66860B8A" w:rsidR="00017BF0" w:rsidRPr="00017BF0" w:rsidRDefault="00017BF0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r w:rsidRPr="00017BF0">
        <w:rPr>
          <w:rFonts w:ascii="Book Antiqua" w:hAnsi="Book Antiqua"/>
        </w:rPr>
        <w:t>Ibid., 8.7.4.</w:t>
      </w:r>
    </w:p>
  </w:footnote>
  <w:footnote w:id="11">
    <w:p w14:paraId="1E710EA3" w14:textId="687C462B" w:rsidR="00BC4967" w:rsidRPr="00BC4967" w:rsidRDefault="00BC4967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r w:rsidRPr="00BC4967">
        <w:rPr>
          <w:rFonts w:ascii="Book Antiqua" w:hAnsi="Book Antiqua"/>
        </w:rPr>
        <w:t>Ibid., 8.8.4.</w:t>
      </w:r>
    </w:p>
  </w:footnote>
  <w:footnote w:id="12">
    <w:p w14:paraId="71E0D6D0" w14:textId="460144CC" w:rsidR="00567DFC" w:rsidRPr="00567DFC" w:rsidRDefault="00567DFC">
      <w:pPr>
        <w:pStyle w:val="Textodenotaderodap"/>
        <w:rPr>
          <w:rFonts w:ascii="Book Antiqua" w:hAnsi="Book Antiqua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567DFC">
        <w:rPr>
          <w:rFonts w:ascii="Book Antiqua" w:hAnsi="Book Antiqua"/>
        </w:rPr>
        <w:t>Mundaka</w:t>
      </w:r>
      <w:proofErr w:type="spellEnd"/>
      <w:r w:rsidRPr="00567DFC">
        <w:rPr>
          <w:rFonts w:ascii="Book Antiqua" w:hAnsi="Book Antiqua"/>
        </w:rPr>
        <w:t xml:space="preserve"> </w:t>
      </w:r>
      <w:proofErr w:type="spellStart"/>
      <w:r w:rsidRPr="00567DFC">
        <w:rPr>
          <w:rFonts w:ascii="Book Antiqua" w:hAnsi="Book Antiqua"/>
        </w:rPr>
        <w:t>Up</w:t>
      </w:r>
      <w:proofErr w:type="spellEnd"/>
      <w:r w:rsidRPr="00567DFC">
        <w:rPr>
          <w:rFonts w:ascii="Book Antiqua" w:hAnsi="Book Antiqua"/>
        </w:rPr>
        <w:t>., 2.1.1.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C62"/>
    <w:rsid w:val="00017BF0"/>
    <w:rsid w:val="00083BA1"/>
    <w:rsid w:val="000E071C"/>
    <w:rsid w:val="000F7C62"/>
    <w:rsid w:val="00173C49"/>
    <w:rsid w:val="00213910"/>
    <w:rsid w:val="00216BD7"/>
    <w:rsid w:val="00240C2C"/>
    <w:rsid w:val="00273B99"/>
    <w:rsid w:val="002F15A9"/>
    <w:rsid w:val="002F493A"/>
    <w:rsid w:val="0030597A"/>
    <w:rsid w:val="003D5EAE"/>
    <w:rsid w:val="003D61E9"/>
    <w:rsid w:val="00530E4F"/>
    <w:rsid w:val="00567DFC"/>
    <w:rsid w:val="00585165"/>
    <w:rsid w:val="005D1961"/>
    <w:rsid w:val="006117FA"/>
    <w:rsid w:val="00670792"/>
    <w:rsid w:val="006F5BAE"/>
    <w:rsid w:val="007B154F"/>
    <w:rsid w:val="007E7D69"/>
    <w:rsid w:val="00804102"/>
    <w:rsid w:val="008355E3"/>
    <w:rsid w:val="008C293F"/>
    <w:rsid w:val="008D4474"/>
    <w:rsid w:val="009829D1"/>
    <w:rsid w:val="009E4CF0"/>
    <w:rsid w:val="00B05382"/>
    <w:rsid w:val="00B510EB"/>
    <w:rsid w:val="00B85AD0"/>
    <w:rsid w:val="00BB5E27"/>
    <w:rsid w:val="00BC4967"/>
    <w:rsid w:val="00D45E52"/>
    <w:rsid w:val="00D74D8A"/>
    <w:rsid w:val="00E26BDC"/>
    <w:rsid w:val="00E66A1C"/>
    <w:rsid w:val="00F4127B"/>
    <w:rsid w:val="00F77188"/>
    <w:rsid w:val="00FC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7F7D"/>
  <w15:chartTrackingRefBased/>
  <w15:docId w15:val="{8F3A03E5-543B-4312-9129-F5836C3C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2" w:lineRule="atLeast"/>
        <w:ind w:left="340" w:hanging="3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bidi="sa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173C49"/>
    <w:rPr>
      <w:sz w:val="20"/>
      <w:szCs w:val="18"/>
      <w:lang w:bidi="sa-IN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173C49"/>
    <w:rPr>
      <w:vertAlign w:val="superscript"/>
    </w:rPr>
  </w:style>
  <w:style w:type="character" w:styleId="Refdenotaderodap">
    <w:name w:val="footnote reference"/>
    <w:rsid w:val="00173C4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73C4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3C49"/>
    <w:pPr>
      <w:suppressAutoHyphens/>
      <w:spacing w:line="240" w:lineRule="auto"/>
    </w:pPr>
    <w:rPr>
      <w:sz w:val="20"/>
      <w:szCs w:val="18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173C49"/>
    <w:rPr>
      <w:sz w:val="20"/>
      <w:szCs w:val="18"/>
      <w:lang w:bidi="sa-IN"/>
    </w:rPr>
  </w:style>
  <w:style w:type="paragraph" w:styleId="Cabealho">
    <w:name w:val="header"/>
    <w:basedOn w:val="Normal"/>
    <w:link w:val="CabealhoChar"/>
    <w:uiPriority w:val="99"/>
    <w:unhideWhenUsed/>
    <w:rsid w:val="00670792"/>
    <w:pPr>
      <w:tabs>
        <w:tab w:val="center" w:pos="4252"/>
        <w:tab w:val="right" w:pos="8504"/>
      </w:tabs>
      <w:spacing w:line="240" w:lineRule="auto"/>
    </w:pPr>
    <w:rPr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670792"/>
    <w:rPr>
      <w:szCs w:val="20"/>
      <w:lang w:bidi="sa-IN"/>
    </w:rPr>
  </w:style>
  <w:style w:type="paragraph" w:styleId="Rodap">
    <w:name w:val="footer"/>
    <w:basedOn w:val="Normal"/>
    <w:link w:val="RodapChar"/>
    <w:uiPriority w:val="99"/>
    <w:unhideWhenUsed/>
    <w:rsid w:val="00670792"/>
    <w:pPr>
      <w:tabs>
        <w:tab w:val="center" w:pos="4252"/>
        <w:tab w:val="right" w:pos="8504"/>
      </w:tabs>
      <w:spacing w:line="240" w:lineRule="auto"/>
    </w:pPr>
    <w:rPr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670792"/>
    <w:rPr>
      <w:szCs w:val="20"/>
      <w:lang w:bidi="sa-IN"/>
    </w:rPr>
  </w:style>
  <w:style w:type="character" w:customStyle="1" w:styleId="fontstyle01">
    <w:name w:val="fontstyle01"/>
    <w:basedOn w:val="Fontepargpadro"/>
    <w:rsid w:val="00BB5E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F5BAE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studantedavedanta.net/paratparananda.htm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52388-C215-4791-A490-D5B65E6B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8</Pages>
  <Words>3517</Words>
  <Characters>18997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Religião e Fanatismo</dc:title>
  <dc:subject/>
  <dc:creator>Swami Paratparananda</dc:creator>
  <cp:keywords/>
  <dc:description/>
  <cp:lastModifiedBy>Eduardo Pimenta</cp:lastModifiedBy>
  <cp:revision>14</cp:revision>
  <cp:lastPrinted>2025-03-17T13:00:00Z</cp:lastPrinted>
  <dcterms:created xsi:type="dcterms:W3CDTF">2025-03-10T12:53:00Z</dcterms:created>
  <dcterms:modified xsi:type="dcterms:W3CDTF">2025-03-22T12:02:00Z</dcterms:modified>
</cp:coreProperties>
</file>